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7F" w:rsidRDefault="003B347F" w:rsidP="003B347F">
      <w:pPr>
        <w:spacing w:line="360" w:lineRule="auto"/>
        <w:rPr>
          <w:rFonts w:ascii="黑体" w:eastAsia="黑体" w:hAnsi="黑体"/>
          <w:sz w:val="28"/>
          <w:szCs w:val="28"/>
        </w:rPr>
      </w:pPr>
      <w:r>
        <w:rPr>
          <w:rFonts w:ascii="黑体" w:eastAsia="黑体" w:hAnsi="黑体" w:hint="eastAsia"/>
          <w:sz w:val="28"/>
          <w:szCs w:val="28"/>
        </w:rPr>
        <w:t>附件1</w:t>
      </w:r>
    </w:p>
    <w:p w:rsidR="003B347F" w:rsidRPr="00C7200A" w:rsidRDefault="003B347F" w:rsidP="003B347F">
      <w:pPr>
        <w:spacing w:line="360" w:lineRule="auto"/>
        <w:rPr>
          <w:rFonts w:ascii="方正小标宋简体" w:eastAsia="方正小标宋简体" w:hAnsi="仿宋_GB2312"/>
          <w:spacing w:val="-6"/>
          <w:sz w:val="40"/>
          <w:szCs w:val="32"/>
        </w:rPr>
      </w:pPr>
      <w:r w:rsidRPr="00C7200A">
        <w:rPr>
          <w:rFonts w:ascii="方正小标宋简体" w:eastAsia="方正小标宋简体" w:hAnsi="仿宋_GB2312" w:hint="eastAsia"/>
          <w:spacing w:val="-6"/>
          <w:sz w:val="40"/>
          <w:szCs w:val="32"/>
        </w:rPr>
        <w:t xml:space="preserve"> “双万计划”国家级一流本科课程推荐认定办法</w:t>
      </w:r>
    </w:p>
    <w:p w:rsidR="003B347F" w:rsidRPr="00C7200A" w:rsidRDefault="003B347F" w:rsidP="003B347F">
      <w:pPr>
        <w:spacing w:line="360" w:lineRule="auto"/>
        <w:ind w:firstLine="645"/>
        <w:rPr>
          <w:rFonts w:eastAsia="仿宋_GB2312" w:hAnsi="仿宋_GB2312"/>
          <w:spacing w:val="-6"/>
          <w:sz w:val="32"/>
          <w:szCs w:val="32"/>
        </w:rPr>
      </w:pPr>
    </w:p>
    <w:p w:rsidR="003B347F" w:rsidRPr="00C7200A" w:rsidRDefault="003B347F" w:rsidP="003B347F">
      <w:pPr>
        <w:spacing w:line="360" w:lineRule="auto"/>
        <w:rPr>
          <w:rFonts w:ascii="黑体" w:eastAsia="黑体" w:hAnsi="黑体"/>
          <w:spacing w:val="-6"/>
          <w:sz w:val="32"/>
          <w:szCs w:val="32"/>
        </w:rPr>
      </w:pPr>
      <w:r w:rsidRPr="00C7200A">
        <w:rPr>
          <w:rFonts w:ascii="黑体" w:eastAsia="黑体" w:hAnsi="黑体" w:hint="eastAsia"/>
          <w:spacing w:val="-6"/>
          <w:sz w:val="32"/>
          <w:szCs w:val="32"/>
        </w:rPr>
        <w:t>一、推荐范围</w:t>
      </w:r>
    </w:p>
    <w:p w:rsidR="003B347F" w:rsidRPr="00C7200A" w:rsidRDefault="003B347F" w:rsidP="003B347F">
      <w:pPr>
        <w:spacing w:line="360" w:lineRule="auto"/>
        <w:ind w:firstLineChars="200" w:firstLine="616"/>
        <w:rPr>
          <w:rFonts w:eastAsia="仿宋_GB2312" w:hAnsi="仿宋_GB2312"/>
          <w:spacing w:val="-6"/>
          <w:sz w:val="32"/>
          <w:szCs w:val="32"/>
        </w:rPr>
      </w:pPr>
      <w:r w:rsidRPr="00C7200A">
        <w:rPr>
          <w:rFonts w:eastAsia="仿宋_GB2312" w:hAnsi="仿宋_GB2312" w:hint="eastAsia"/>
          <w:spacing w:val="-6"/>
          <w:sz w:val="32"/>
          <w:szCs w:val="32"/>
        </w:rPr>
        <w:t>普通本科高校纳入人才培养方案且设置学分的本科课程均可推荐，包括思想政治理论课、公共基础课、专业基础课、专业课以及通识课等独立设置的本科理论课程、实验课程和社会实践课程等。</w:t>
      </w:r>
    </w:p>
    <w:p w:rsidR="003B347F" w:rsidRPr="00C7200A" w:rsidRDefault="003B347F" w:rsidP="003B347F">
      <w:pPr>
        <w:spacing w:line="360" w:lineRule="auto"/>
        <w:rPr>
          <w:rFonts w:ascii="黑体" w:eastAsia="黑体" w:hAnsi="黑体"/>
          <w:spacing w:val="-6"/>
          <w:sz w:val="32"/>
          <w:szCs w:val="32"/>
        </w:rPr>
      </w:pPr>
      <w:r w:rsidRPr="00C7200A">
        <w:rPr>
          <w:rFonts w:ascii="黑体" w:eastAsia="黑体" w:hAnsi="黑体" w:hint="eastAsia"/>
          <w:spacing w:val="-6"/>
          <w:sz w:val="32"/>
          <w:szCs w:val="32"/>
        </w:rPr>
        <w:t>二、推荐类型与计划</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（一）线上一流课程。即国家精品在线开放课程，突出优质、开放、共享，打造中国慕课品牌。完成</w:t>
      </w:r>
      <w:r w:rsidRPr="00C7200A">
        <w:rPr>
          <w:rFonts w:eastAsia="仿宋_GB2312" w:hAnsi="仿宋_GB2312" w:hint="eastAsia"/>
          <w:spacing w:val="-6"/>
          <w:sz w:val="32"/>
          <w:szCs w:val="32"/>
        </w:rPr>
        <w:t>4000</w:t>
      </w:r>
      <w:r w:rsidRPr="00C7200A">
        <w:rPr>
          <w:rFonts w:eastAsia="仿宋_GB2312" w:hAnsi="仿宋_GB2312" w:hint="eastAsia"/>
          <w:spacing w:val="-6"/>
          <w:sz w:val="32"/>
          <w:szCs w:val="32"/>
        </w:rPr>
        <w:t>门左右国家精品在线开放课程认定，构建内容更加丰富、结构更加合理、类别更加全面的国家级精品慕课体系。</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（二）线下一流课程。主要指以面授为主的课程，以提升学生综合能力为重点，重塑课程内容，创新教学方法，打破课堂沉默状态，焕发课堂生机活力，较好发挥课堂教学主阵地、主渠道、主战场作用。认定</w:t>
      </w:r>
      <w:r w:rsidRPr="00C7200A">
        <w:rPr>
          <w:rFonts w:eastAsia="仿宋_GB2312" w:hAnsi="仿宋_GB2312" w:hint="eastAsia"/>
          <w:spacing w:val="-6"/>
          <w:sz w:val="32"/>
          <w:szCs w:val="32"/>
        </w:rPr>
        <w:t>4000</w:t>
      </w:r>
      <w:r w:rsidRPr="00C7200A">
        <w:rPr>
          <w:rFonts w:eastAsia="仿宋_GB2312" w:hAnsi="仿宋_GB2312" w:hint="eastAsia"/>
          <w:spacing w:val="-6"/>
          <w:sz w:val="32"/>
          <w:szCs w:val="32"/>
        </w:rPr>
        <w:t>门左右国家级线下一流课程。</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（三）线上线下混合式一流课程。主要指基于慕课、专属在线课程（</w:t>
      </w:r>
      <w:r w:rsidRPr="00C7200A">
        <w:rPr>
          <w:rFonts w:eastAsia="仿宋_GB2312" w:hAnsi="仿宋_GB2312" w:hint="eastAsia"/>
          <w:spacing w:val="-6"/>
          <w:sz w:val="32"/>
          <w:szCs w:val="32"/>
        </w:rPr>
        <w:t>SPOC</w:t>
      </w:r>
      <w:r w:rsidRPr="00C7200A">
        <w:rPr>
          <w:rFonts w:eastAsia="仿宋_GB2312" w:hAnsi="仿宋_GB2312" w:hint="eastAsia"/>
          <w:spacing w:val="-6"/>
          <w:sz w:val="32"/>
          <w:szCs w:val="32"/>
        </w:rPr>
        <w:t>）或其他在线课程，运用适当的数字化教学工具，结合本校实际对校内课程进行改造，安排</w:t>
      </w:r>
      <w:r w:rsidRPr="00C7200A">
        <w:rPr>
          <w:rFonts w:eastAsia="仿宋_GB2312" w:hAnsi="仿宋_GB2312" w:hint="eastAsia"/>
          <w:spacing w:val="-6"/>
          <w:sz w:val="32"/>
          <w:szCs w:val="32"/>
        </w:rPr>
        <w:t>20%</w:t>
      </w:r>
      <w:r w:rsidRPr="00C7200A">
        <w:rPr>
          <w:rFonts w:eastAsia="仿宋_GB2312" w:hAnsi="仿宋_GB2312" w:hint="eastAsia"/>
          <w:spacing w:val="-6"/>
          <w:sz w:val="32"/>
          <w:szCs w:val="32"/>
        </w:rPr>
        <w:t>—</w:t>
      </w:r>
      <w:r w:rsidRPr="00C7200A">
        <w:rPr>
          <w:rFonts w:eastAsia="仿宋_GB2312" w:hAnsi="仿宋_GB2312" w:hint="eastAsia"/>
          <w:spacing w:val="-6"/>
          <w:sz w:val="32"/>
          <w:szCs w:val="32"/>
        </w:rPr>
        <w:t>50%</w:t>
      </w:r>
      <w:r w:rsidRPr="00C7200A">
        <w:rPr>
          <w:rFonts w:eastAsia="仿宋_GB2312" w:hAnsi="仿宋_GB2312" w:hint="eastAsia"/>
          <w:spacing w:val="-6"/>
          <w:sz w:val="32"/>
          <w:szCs w:val="32"/>
        </w:rPr>
        <w:t>的教学时间实施学生线上自主学习，与线下面授有机结合开展翻转课堂、混合式教学，打造在线课程与本校课堂教学相融合的混</w:t>
      </w:r>
      <w:r w:rsidRPr="00C7200A">
        <w:rPr>
          <w:rFonts w:eastAsia="仿宋_GB2312" w:hAnsi="仿宋_GB2312" w:hint="eastAsia"/>
          <w:spacing w:val="-6"/>
          <w:sz w:val="32"/>
          <w:szCs w:val="32"/>
        </w:rPr>
        <w:lastRenderedPageBreak/>
        <w:t>合式“金课”。大力倡导基于国家精品在线开放课程应用的线上线下混合式优质课程申报。认定</w:t>
      </w:r>
      <w:r w:rsidRPr="00C7200A">
        <w:rPr>
          <w:rFonts w:eastAsia="仿宋_GB2312" w:hAnsi="仿宋_GB2312" w:hint="eastAsia"/>
          <w:spacing w:val="-6"/>
          <w:sz w:val="32"/>
          <w:szCs w:val="32"/>
        </w:rPr>
        <w:t>6000</w:t>
      </w:r>
      <w:r w:rsidRPr="00C7200A">
        <w:rPr>
          <w:rFonts w:eastAsia="仿宋_GB2312" w:hAnsi="仿宋_GB2312" w:hint="eastAsia"/>
          <w:spacing w:val="-6"/>
          <w:sz w:val="32"/>
          <w:szCs w:val="32"/>
        </w:rPr>
        <w:t>门左右国家级线上线下混合式一流课程。</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（四）虚拟仿真实验教学一流课程。着力解决真实实验条件不具备或实际运行困难，涉及高危或极端环境，高成本、高消耗、不可逆操作、大型综合训练等问题。完成</w:t>
      </w:r>
      <w:r w:rsidRPr="00C7200A">
        <w:rPr>
          <w:rFonts w:eastAsia="仿宋_GB2312" w:hAnsi="仿宋_GB2312" w:hint="eastAsia"/>
          <w:spacing w:val="-6"/>
          <w:sz w:val="32"/>
          <w:szCs w:val="32"/>
        </w:rPr>
        <w:t>1500</w:t>
      </w:r>
      <w:r w:rsidRPr="00C7200A">
        <w:rPr>
          <w:rFonts w:eastAsia="仿宋_GB2312" w:hAnsi="仿宋_GB2312" w:hint="eastAsia"/>
          <w:spacing w:val="-6"/>
          <w:sz w:val="32"/>
          <w:szCs w:val="32"/>
        </w:rPr>
        <w:t>门左右国家虚拟仿真实验教学一流课程认定，形成专业布局合理、教学效果优良、开放共享有效的高等教育信息化实验教学体系。</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w:t>
      </w:r>
      <w:r w:rsidRPr="00C7200A">
        <w:rPr>
          <w:rFonts w:eastAsia="仿宋_GB2312" w:hAnsi="仿宋_GB2312" w:hint="eastAsia"/>
          <w:spacing w:val="-6"/>
          <w:sz w:val="32"/>
          <w:szCs w:val="32"/>
        </w:rPr>
        <w:t>70%</w:t>
      </w:r>
      <w:r w:rsidRPr="00C7200A">
        <w:rPr>
          <w:rFonts w:eastAsia="仿宋_GB2312" w:hAnsi="仿宋_GB2312" w:hint="eastAsia"/>
          <w:spacing w:val="-6"/>
          <w:sz w:val="32"/>
          <w:szCs w:val="32"/>
        </w:rPr>
        <w:t>以上学时深入基层，保证课程规范化和可持续发展。认定</w:t>
      </w:r>
      <w:r w:rsidRPr="00C7200A">
        <w:rPr>
          <w:rFonts w:eastAsia="仿宋_GB2312" w:hAnsi="仿宋_GB2312" w:hint="eastAsia"/>
          <w:spacing w:val="-6"/>
          <w:sz w:val="32"/>
          <w:szCs w:val="32"/>
        </w:rPr>
        <w:t>1000</w:t>
      </w:r>
      <w:r w:rsidRPr="00C7200A">
        <w:rPr>
          <w:rFonts w:eastAsia="仿宋_GB2312" w:hAnsi="仿宋_GB2312" w:hint="eastAsia"/>
          <w:spacing w:val="-6"/>
          <w:sz w:val="32"/>
          <w:szCs w:val="32"/>
        </w:rPr>
        <w:t>门左右国家级社会实践一流课程。</w:t>
      </w:r>
    </w:p>
    <w:p w:rsidR="003B347F" w:rsidRPr="00C7200A" w:rsidRDefault="003B347F" w:rsidP="003B347F">
      <w:pPr>
        <w:spacing w:line="360" w:lineRule="auto"/>
        <w:rPr>
          <w:rFonts w:ascii="黑体" w:eastAsia="黑体" w:hAnsi="黑体"/>
          <w:spacing w:val="-6"/>
          <w:sz w:val="32"/>
          <w:szCs w:val="32"/>
        </w:rPr>
      </w:pPr>
      <w:r w:rsidRPr="00C7200A">
        <w:rPr>
          <w:rFonts w:ascii="黑体" w:eastAsia="黑体" w:hAnsi="黑体" w:hint="eastAsia"/>
          <w:spacing w:val="-6"/>
          <w:sz w:val="32"/>
          <w:szCs w:val="32"/>
        </w:rPr>
        <w:t>三、推荐条件</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w:t>
      </w:r>
      <w:r w:rsidRPr="00C7200A">
        <w:rPr>
          <w:rFonts w:eastAsia="仿宋_GB2312" w:hAnsi="仿宋_GB2312" w:hint="eastAsia"/>
          <w:spacing w:val="-6"/>
          <w:sz w:val="32"/>
          <w:szCs w:val="32"/>
        </w:rPr>
        <w:lastRenderedPageBreak/>
        <w:t>有较大的借鉴和推广价值。</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（一）教学理念先进。坚持立德树人，体现以学生发展为中心，致力于开启学生内在潜力和学习动力，注重学生德智体美劳全面发展。</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（三）课程目标有效支撑培养目标达成。课程目标符合学校办学定位和人才培养目标，注重知识、能力、素质培养。</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（四）课程教学设计科学合理。围绕目标达成、教学内容、组织实施和多元评价需求进行整体规划，教学策略、教学方法、教学过程、教学评价等设计合理。</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（六）教学组织与实施突出学生中心地位。根据学生认知规律和接受特点，创新教与学模式，因材施教，促进师生之间、学生之间的交流互动、资源共享、知识生成，教学反馈及时，教学效果显著。</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lastRenderedPageBreak/>
        <w:t>（七）课程管理与评价科学且可测量。教师备课要求明确，学生学习管理严格。针对教学目标、教学内容、教学组织等采用多元化考核评价，过程可回溯，诊断改进积极有效。教学过程材料完整，可借鉴可监督。</w:t>
      </w:r>
    </w:p>
    <w:p w:rsidR="003B347F" w:rsidRPr="00C7200A" w:rsidRDefault="003B347F" w:rsidP="003B347F">
      <w:pPr>
        <w:spacing w:line="360" w:lineRule="auto"/>
        <w:rPr>
          <w:rFonts w:ascii="黑体" w:eastAsia="黑体" w:hAnsi="黑体"/>
          <w:spacing w:val="-6"/>
          <w:sz w:val="32"/>
          <w:szCs w:val="32"/>
        </w:rPr>
      </w:pPr>
      <w:r w:rsidRPr="00C7200A">
        <w:rPr>
          <w:rFonts w:ascii="黑体" w:eastAsia="黑体" w:hAnsi="黑体" w:hint="eastAsia"/>
          <w:spacing w:val="-6"/>
          <w:sz w:val="32"/>
          <w:szCs w:val="32"/>
        </w:rPr>
        <w:t>四、推荐方式</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除线上一流课程、虚拟仿真实验教学一流课程继续按有关文件实施外，线下一流课程、线上线下混合式一流课程和社会实践一流课程采用以下推荐方式。</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（一）推荐总额</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教育部按照国家级线下一流课程、线上线下混合式一流课程和社会实践一流课程三年计划总数确定推荐总额，分别下达至中央部门所属高校和各省级教育行政部门。</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（二）分赛道推荐</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按照中央部门所属高校、地方高校的办学定位和培养目标特点分赛道推荐，名额分列。部省合建高校推荐课程纳入中央部门所属高校赛道。</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（三）推荐方式</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lastRenderedPageBreak/>
        <w:t>（四）推荐材料要求</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课程团队须提交申报书、时长</w:t>
      </w:r>
      <w:r w:rsidRPr="00C7200A">
        <w:rPr>
          <w:rFonts w:eastAsia="仿宋_GB2312" w:hAnsi="仿宋_GB2312" w:hint="eastAsia"/>
          <w:spacing w:val="-6"/>
          <w:sz w:val="32"/>
          <w:szCs w:val="32"/>
        </w:rPr>
        <w:t>10</w:t>
      </w:r>
      <w:r w:rsidRPr="00C7200A">
        <w:rPr>
          <w:rFonts w:eastAsia="仿宋_GB2312" w:hAnsi="仿宋_GB2312" w:hint="eastAsia"/>
          <w:spacing w:val="-6"/>
          <w:sz w:val="32"/>
          <w:szCs w:val="32"/>
        </w:rPr>
        <w:t>分钟内的说课视频（包括教学理念、课程设计、课程实施、改革成效等）和其他佐证材料。</w:t>
      </w:r>
    </w:p>
    <w:p w:rsidR="003B347F" w:rsidRPr="00C7200A" w:rsidRDefault="003B347F" w:rsidP="003B347F">
      <w:pPr>
        <w:spacing w:line="360" w:lineRule="auto"/>
        <w:rPr>
          <w:rFonts w:ascii="黑体" w:eastAsia="黑体" w:hAnsi="黑体"/>
          <w:spacing w:val="-6"/>
          <w:sz w:val="32"/>
          <w:szCs w:val="32"/>
        </w:rPr>
      </w:pPr>
      <w:r w:rsidRPr="00C7200A">
        <w:rPr>
          <w:rFonts w:ascii="黑体" w:eastAsia="黑体" w:hAnsi="黑体" w:hint="eastAsia"/>
          <w:spacing w:val="-6"/>
          <w:sz w:val="32"/>
          <w:szCs w:val="32"/>
        </w:rPr>
        <w:t>五、认定方式</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教育部分年度组织专家对推荐课程进行认定，经公示后向社会发布。对课程团队成员存在师德师风问题、学术不端问题、五年内出现过重大教学事故，课程内容存在思想性科学性问题的，实行一票否决。</w:t>
      </w:r>
    </w:p>
    <w:p w:rsidR="003B347F" w:rsidRPr="00C7200A" w:rsidRDefault="003B347F" w:rsidP="003B347F">
      <w:pPr>
        <w:spacing w:line="360" w:lineRule="auto"/>
        <w:rPr>
          <w:rFonts w:ascii="黑体" w:eastAsia="黑体" w:hAnsi="黑体"/>
          <w:spacing w:val="-6"/>
          <w:sz w:val="32"/>
          <w:szCs w:val="32"/>
        </w:rPr>
      </w:pPr>
      <w:r w:rsidRPr="00C7200A">
        <w:rPr>
          <w:rFonts w:ascii="黑体" w:eastAsia="黑体" w:hAnsi="黑体" w:hint="eastAsia"/>
          <w:spacing w:val="-6"/>
          <w:sz w:val="32"/>
          <w:szCs w:val="32"/>
        </w:rPr>
        <w:t>六、认定课程管理</w:t>
      </w:r>
    </w:p>
    <w:p w:rsidR="003B347F" w:rsidRPr="00C7200A" w:rsidRDefault="003B347F" w:rsidP="003B347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rsidR="003B347F" w:rsidRPr="00C7200A" w:rsidRDefault="003B347F" w:rsidP="003B347F">
      <w:pPr>
        <w:spacing w:line="360" w:lineRule="auto"/>
        <w:ind w:firstLine="645"/>
        <w:rPr>
          <w:rFonts w:eastAsia="仿宋_GB2312" w:hAnsi="仿宋_GB2312"/>
          <w:spacing w:val="-6"/>
          <w:sz w:val="32"/>
          <w:szCs w:val="32"/>
        </w:rPr>
      </w:pPr>
    </w:p>
    <w:p w:rsidR="008A1430" w:rsidRPr="003B347F" w:rsidRDefault="008A1430">
      <w:bookmarkStart w:id="0" w:name="_GoBack"/>
      <w:bookmarkEnd w:id="0"/>
    </w:p>
    <w:sectPr w:rsidR="008A1430" w:rsidRPr="003B34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D4" w:rsidRDefault="00E510D4" w:rsidP="003B347F">
      <w:r>
        <w:separator/>
      </w:r>
    </w:p>
  </w:endnote>
  <w:endnote w:type="continuationSeparator" w:id="0">
    <w:p w:rsidR="00E510D4" w:rsidRDefault="00E510D4" w:rsidP="003B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D4" w:rsidRDefault="00E510D4" w:rsidP="003B347F">
      <w:r>
        <w:separator/>
      </w:r>
    </w:p>
  </w:footnote>
  <w:footnote w:type="continuationSeparator" w:id="0">
    <w:p w:rsidR="00E510D4" w:rsidRDefault="00E510D4" w:rsidP="003B3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66"/>
    <w:rsid w:val="003B347F"/>
    <w:rsid w:val="008A1430"/>
    <w:rsid w:val="00B71E66"/>
    <w:rsid w:val="00E51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EB0E36-E621-4885-8075-84DA42EC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4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4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B347F"/>
    <w:rPr>
      <w:sz w:val="18"/>
      <w:szCs w:val="18"/>
    </w:rPr>
  </w:style>
  <w:style w:type="paragraph" w:styleId="a5">
    <w:name w:val="footer"/>
    <w:basedOn w:val="a"/>
    <w:link w:val="a6"/>
    <w:uiPriority w:val="99"/>
    <w:unhideWhenUsed/>
    <w:rsid w:val="003B34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B34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闫永红</dc:creator>
  <cp:keywords/>
  <dc:description/>
  <cp:lastModifiedBy>闫永红</cp:lastModifiedBy>
  <cp:revision>2</cp:revision>
  <dcterms:created xsi:type="dcterms:W3CDTF">2019-12-02T14:22:00Z</dcterms:created>
  <dcterms:modified xsi:type="dcterms:W3CDTF">2019-12-02T14:22:00Z</dcterms:modified>
</cp:coreProperties>
</file>