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spacing w:before="120" w:beforeLines="50" w:after="72" w:afterLines="30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说课（说创新）视频评审标准</w:t>
      </w:r>
      <w:bookmarkStart w:id="0" w:name="_GoBack"/>
      <w:bookmarkEnd w:id="0"/>
    </w:p>
    <w:tbl>
      <w:tblPr>
        <w:tblStyle w:val="2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6079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评价维度</w:t>
            </w:r>
          </w:p>
        </w:tc>
        <w:tc>
          <w:tcPr>
            <w:tcW w:w="6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评价要点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理念与目标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课程教学贴合“以学生发展为中心”的理念，强调高阶能力以及情感价值的课程目标。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教学内容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课程内容有深度、广度，反映学科前沿，渗透专业思想，使用质量高的教学资源。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将思想政治教育与专业教育有机融合。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将学科研究新进展、实践发展新经验、社会需求新变化纳入教学内容。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过程与方法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教学活动丰富多样，能体现各等级水平的知识、技能和情感价值目标。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能根据课程特点，用创新的教学策略、方法、技术解决课堂教学中存在的各种问题和困难。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强化师生和生生互动，教学活动应循序渐进，教师提供必要的支持和指导，帮助学生成为自主学习者。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考评与反馈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考核方式科学合理，能合理评价学生知识、技能的掌握情况。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过程性评价与结果性评价相结合，以促成学生进步为出发点设计多元的评价方式，且给与及时反馈。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提供清晰合理的评价规则和标准，积极创造学生自我评价和同伴互评的机会。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总分</w:t>
            </w:r>
          </w:p>
        </w:tc>
        <w:tc>
          <w:tcPr>
            <w:tcW w:w="6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站酷小薇LOGO体">
    <w:panose1 w:val="02010600010101010101"/>
    <w:charset w:val="80"/>
    <w:family w:val="auto"/>
    <w:pitch w:val="default"/>
    <w:sig w:usb0="00000283" w:usb1="080F0C10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2020-12-23T07:08:34Z</dcterms:created>
  <dc:creator>123com</dc:creator>
  <cp:lastModifiedBy>ranran</cp:lastModifiedBy>
  <dcterms:modified xsi:type="dcterms:W3CDTF">2020-12-23T07:16:17Z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