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D16E5">
      <w:pPr>
        <w:spacing w:line="360" w:lineRule="auto"/>
        <w:ind w:firstLine="420"/>
        <w:jc w:val="center"/>
        <w:rPr>
          <w:rFonts w:hint="eastAsia"/>
          <w:b/>
          <w:sz w:val="32"/>
        </w:rPr>
      </w:pPr>
      <w:r>
        <w:rPr>
          <w:rFonts w:hint="eastAsia"/>
          <w:b/>
          <w:sz w:val="32"/>
        </w:rPr>
        <w:t xml:space="preserve"> 20</w:t>
      </w:r>
      <w:r>
        <w:rPr>
          <w:b/>
          <w:sz w:val="32"/>
        </w:rPr>
        <w:t>2</w:t>
      </w:r>
      <w:r>
        <w:rPr>
          <w:rFonts w:hint="eastAsia"/>
          <w:b/>
          <w:sz w:val="32"/>
          <w:lang w:val="en-US" w:eastAsia="zh-CN"/>
        </w:rPr>
        <w:t>6</w:t>
      </w:r>
      <w:r>
        <w:rPr>
          <w:rFonts w:hint="eastAsia"/>
          <w:b/>
          <w:sz w:val="32"/>
        </w:rPr>
        <w:t>年北京中医药大学本科生修读</w:t>
      </w:r>
    </w:p>
    <w:p w14:paraId="0D02003C">
      <w:pPr>
        <w:spacing w:line="360" w:lineRule="auto"/>
        <w:ind w:firstLine="420"/>
        <w:jc w:val="center"/>
        <w:rPr>
          <w:b/>
          <w:sz w:val="32"/>
        </w:rPr>
      </w:pPr>
      <w:r>
        <w:rPr>
          <w:rFonts w:hint="eastAsia"/>
          <w:b/>
          <w:sz w:val="32"/>
        </w:rPr>
        <w:t>法学辅修学士学位教育招生简章</w:t>
      </w:r>
    </w:p>
    <w:p w14:paraId="20CFA822">
      <w:pPr>
        <w:spacing w:line="360" w:lineRule="auto"/>
        <w:ind w:firstLine="420"/>
        <w:jc w:val="center"/>
        <w:rPr>
          <w:b/>
          <w:sz w:val="32"/>
        </w:rPr>
      </w:pPr>
    </w:p>
    <w:p w14:paraId="5971EBE1">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随着医药卫生事业的快速发展和卫生法治建设的不断推进，国家对医药卫生行业复合型人才的需求不断加大，对人才培养的目标和模式提出了更高的要求。为顺应时代发展要求，充分利用和共享我校丰富的教育资源，促进不同学科专业的交叉融合，培养既具备医学、药学、管理学、护理学等学科专业理论知识和实践技能，又具备法学基础理论知识和实务能力，能够解决法律实际问题的复合型医药卫生人才，拟面向非法学专业本科学生开展法学辅修学士学位教育(简称辅修学士学位)。辅修学士学位教育旨在支持学有余力的学生跨学科学习，推进中医药高级复合型人才培养。根据《北京中医药大学辅修学士学位管理规定》（京中校发〔2022〕70 号）文件要求，特制定本招生简章。</w:t>
      </w:r>
    </w:p>
    <w:p w14:paraId="0272F42E">
      <w:pPr>
        <w:spacing w:line="360" w:lineRule="auto"/>
        <w:ind w:firstLine="420"/>
        <w:rPr>
          <w:rFonts w:ascii="宋体" w:hAnsi="宋体" w:cs="Songti SC"/>
          <w:color w:val="000000"/>
          <w:kern w:val="0"/>
          <w:szCs w:val="28"/>
        </w:rPr>
      </w:pPr>
    </w:p>
    <w:p w14:paraId="0F0E293C">
      <w:pPr>
        <w:spacing w:line="360" w:lineRule="auto"/>
        <w:rPr>
          <w:b/>
        </w:rPr>
      </w:pPr>
      <w:r>
        <w:rPr>
          <w:rFonts w:hint="eastAsia"/>
          <w:b/>
        </w:rPr>
        <w:t>招生专业：</w:t>
      </w:r>
    </w:p>
    <w:p w14:paraId="06AAAF3B">
      <w:pPr>
        <w:spacing w:line="360" w:lineRule="auto"/>
        <w:ind w:firstLine="420" w:firstLineChars="200"/>
        <w:rPr>
          <w:rFonts w:hint="eastAsia"/>
        </w:rPr>
      </w:pPr>
      <w:r>
        <w:rPr>
          <w:rFonts w:hint="eastAsia"/>
        </w:rPr>
        <w:t>法学</w:t>
      </w:r>
    </w:p>
    <w:p w14:paraId="1D7FAE5A">
      <w:pPr>
        <w:spacing w:line="360" w:lineRule="auto"/>
        <w:ind w:firstLine="420" w:firstLineChars="200"/>
        <w:rPr>
          <w:rFonts w:hint="eastAsia"/>
        </w:rPr>
      </w:pPr>
    </w:p>
    <w:p w14:paraId="5D111D89">
      <w:pPr>
        <w:spacing w:line="360" w:lineRule="auto"/>
        <w:rPr>
          <w:b/>
        </w:rPr>
      </w:pPr>
      <w:r>
        <w:rPr>
          <w:rFonts w:hint="eastAsia"/>
          <w:b/>
        </w:rPr>
        <w:t>招生对象：</w:t>
      </w:r>
      <w:r>
        <w:rPr>
          <w:b/>
        </w:rPr>
        <w:t xml:space="preserve"> </w:t>
      </w:r>
    </w:p>
    <w:p w14:paraId="74A6E5F6">
      <w:pPr>
        <w:spacing w:line="360" w:lineRule="auto"/>
        <w:ind w:firstLine="420"/>
        <w:rPr>
          <w:rFonts w:ascii="宋体" w:hAnsi="宋体" w:cs="Songti SC"/>
          <w:color w:val="000000"/>
          <w:kern w:val="0"/>
          <w:szCs w:val="28"/>
        </w:rPr>
      </w:pPr>
      <w:bookmarkStart w:id="0" w:name="OLE_LINK4"/>
      <w:bookmarkStart w:id="1" w:name="OLE_LINK3"/>
      <w:r>
        <w:rPr>
          <w:rFonts w:hint="eastAsia" w:ascii="宋体" w:hAnsi="宋体" w:cs="Songti SC"/>
          <w:color w:val="000000"/>
          <w:kern w:val="0"/>
          <w:szCs w:val="28"/>
        </w:rPr>
        <w:t>除法学专业外的在校全日制本科生</w:t>
      </w:r>
      <w:bookmarkEnd w:id="0"/>
      <w:bookmarkEnd w:id="1"/>
      <w:r>
        <w:rPr>
          <w:rFonts w:hint="eastAsia" w:ascii="宋体" w:hAnsi="宋体" w:cs="Songti SC"/>
          <w:color w:val="000000"/>
          <w:kern w:val="0"/>
          <w:szCs w:val="28"/>
        </w:rPr>
        <w:t>；身心健康，学有余力、有较强的学习能力，能胜任同时修读两个专业的学习任务；已修满主修专业培养方案第一学年要求课程学分。必修课程平均学分绩点不低于2.0，且无不及格课程（含必修课程、选修课程）。</w:t>
      </w:r>
    </w:p>
    <w:p w14:paraId="41D0FC5D">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 xml:space="preserve">符合以上条件的学生，根据自愿原则，可自主申请修读法学辅修学士学位并在规定时间内向人文学院报名，由学院择优录取。 </w:t>
      </w:r>
    </w:p>
    <w:p w14:paraId="096E4824">
      <w:pPr>
        <w:spacing w:line="360" w:lineRule="auto"/>
        <w:ind w:firstLine="420"/>
      </w:pPr>
    </w:p>
    <w:p w14:paraId="66D24413">
      <w:pPr>
        <w:spacing w:line="360" w:lineRule="auto"/>
        <w:rPr>
          <w:b/>
        </w:rPr>
      </w:pPr>
      <w:r>
        <w:rPr>
          <w:rFonts w:hint="eastAsia"/>
          <w:b/>
        </w:rPr>
        <w:t>修读时间及学分：</w:t>
      </w:r>
    </w:p>
    <w:p w14:paraId="2B8A732E">
      <w:pPr>
        <w:spacing w:line="360" w:lineRule="auto"/>
        <w:ind w:firstLine="420" w:firstLineChars="200"/>
        <w:rPr>
          <w:rFonts w:ascii="宋体" w:hAnsi="宋体" w:cs="Songti SC"/>
          <w:color w:val="000000"/>
          <w:kern w:val="0"/>
          <w:szCs w:val="28"/>
        </w:rPr>
      </w:pPr>
      <w:r>
        <w:rPr>
          <w:rFonts w:hint="eastAsia" w:ascii="宋体" w:hAnsi="宋体" w:cs="Songti SC"/>
          <w:color w:val="000000"/>
          <w:kern w:val="0"/>
          <w:szCs w:val="28"/>
        </w:rPr>
        <w:t>根据学生主修专业学制不同，修读时间一般为</w:t>
      </w:r>
      <w:r>
        <w:rPr>
          <w:rFonts w:hint="eastAsia" w:ascii="宋体" w:hAnsi="宋体" w:cs="Songti SC"/>
          <w:color w:val="000000"/>
          <w:kern w:val="0"/>
          <w:szCs w:val="28"/>
          <w:lang w:val="en-US" w:eastAsia="zh-CN"/>
        </w:rPr>
        <w:t>3</w:t>
      </w:r>
      <w:r>
        <w:rPr>
          <w:rFonts w:hint="eastAsia" w:ascii="宋体" w:hAnsi="宋体" w:cs="Songti SC"/>
          <w:color w:val="000000"/>
          <w:kern w:val="0"/>
          <w:szCs w:val="28"/>
        </w:rPr>
        <w:t>年</w:t>
      </w:r>
      <w:r>
        <w:rPr>
          <w:rFonts w:hint="eastAsia" w:ascii="宋体" w:hAnsi="宋体" w:cs="Songti SC"/>
          <w:color w:val="000000"/>
          <w:kern w:val="0"/>
          <w:szCs w:val="28"/>
          <w:lang w:eastAsia="zh-CN"/>
        </w:rPr>
        <w:t>（原则上主修专业最后一学期不能修读课程）</w:t>
      </w:r>
      <w:r>
        <w:rPr>
          <w:rFonts w:hint="eastAsia" w:ascii="宋体" w:hAnsi="宋体" w:cs="Songti SC"/>
          <w:color w:val="000000"/>
          <w:kern w:val="0"/>
          <w:szCs w:val="28"/>
        </w:rPr>
        <w:t>。</w:t>
      </w:r>
    </w:p>
    <w:p w14:paraId="79718339">
      <w:pPr>
        <w:spacing w:line="360" w:lineRule="auto"/>
        <w:ind w:firstLine="420" w:firstLineChars="200"/>
        <w:rPr>
          <w:rFonts w:ascii="宋体" w:hAnsi="宋体" w:cs="仿宋_GB2312"/>
          <w:color w:val="000000"/>
          <w:szCs w:val="21"/>
        </w:rPr>
      </w:pPr>
      <w:r>
        <w:rPr>
          <w:rFonts w:ascii="宋体" w:hAnsi="宋体" w:cs="仿宋_GB2312"/>
          <w:color w:val="000000"/>
          <w:szCs w:val="21"/>
        </w:rPr>
        <w:t>辅修</w:t>
      </w:r>
      <w:r>
        <w:rPr>
          <w:rFonts w:hint="eastAsia" w:ascii="宋体" w:hAnsi="宋体" w:cs="仿宋_GB2312"/>
          <w:color w:val="000000"/>
          <w:szCs w:val="21"/>
        </w:rPr>
        <w:t>法学学士学位的</w:t>
      </w:r>
      <w:r>
        <w:rPr>
          <w:rFonts w:ascii="宋体" w:hAnsi="宋体" w:cs="仿宋_GB2312"/>
          <w:color w:val="000000"/>
          <w:szCs w:val="21"/>
        </w:rPr>
        <w:t>学生应修满</w:t>
      </w:r>
      <w:r>
        <w:rPr>
          <w:rFonts w:hint="eastAsia"/>
        </w:rPr>
        <w:t>法学辅修学士学位</w:t>
      </w:r>
      <w:r>
        <w:rPr>
          <w:rFonts w:ascii="宋体" w:hAnsi="宋体" w:cs="仿宋_GB2312"/>
          <w:color w:val="000000"/>
          <w:szCs w:val="21"/>
        </w:rPr>
        <w:t>培养</w:t>
      </w:r>
      <w:r>
        <w:rPr>
          <w:rFonts w:hint="eastAsia" w:ascii="宋体" w:hAnsi="宋体" w:cs="仿宋_GB2312"/>
          <w:color w:val="000000"/>
          <w:szCs w:val="21"/>
        </w:rPr>
        <w:t>方案</w:t>
      </w:r>
      <w:r>
        <w:rPr>
          <w:rFonts w:ascii="宋体" w:hAnsi="宋体" w:cs="仿宋_GB2312"/>
          <w:color w:val="000000"/>
          <w:szCs w:val="21"/>
        </w:rPr>
        <w:t>规定</w:t>
      </w:r>
      <w:r>
        <w:rPr>
          <w:rFonts w:hint="eastAsia" w:ascii="宋体" w:hAnsi="宋体" w:cs="仿宋_GB2312"/>
          <w:color w:val="000000"/>
          <w:szCs w:val="21"/>
        </w:rPr>
        <w:t>的总</w:t>
      </w:r>
      <w:r>
        <w:rPr>
          <w:rFonts w:ascii="宋体" w:hAnsi="宋体" w:cs="仿宋_GB2312"/>
          <w:color w:val="000000"/>
          <w:szCs w:val="21"/>
        </w:rPr>
        <w:t>学分</w:t>
      </w:r>
      <w:r>
        <w:rPr>
          <w:rFonts w:hint="eastAsia" w:ascii="宋体" w:hAnsi="宋体" w:cs="仿宋_GB2312"/>
          <w:color w:val="000000"/>
          <w:szCs w:val="21"/>
        </w:rPr>
        <w:t>。</w:t>
      </w:r>
    </w:p>
    <w:p w14:paraId="12C427E8">
      <w:pPr>
        <w:spacing w:line="360" w:lineRule="auto"/>
        <w:ind w:firstLine="420" w:firstLineChars="200"/>
      </w:pPr>
    </w:p>
    <w:p w14:paraId="0A3BAF0D">
      <w:pPr>
        <w:spacing w:line="360" w:lineRule="auto"/>
        <w:rPr>
          <w:b/>
        </w:rPr>
      </w:pPr>
      <w:r>
        <w:rPr>
          <w:rFonts w:hint="eastAsia"/>
          <w:b/>
        </w:rPr>
        <w:t>上课时间和形式：</w:t>
      </w:r>
    </w:p>
    <w:p w14:paraId="2EB728F1">
      <w:pPr>
        <w:spacing w:line="360" w:lineRule="auto"/>
        <w:ind w:firstLine="420" w:firstLineChars="200"/>
      </w:pPr>
      <w:r>
        <w:rPr>
          <w:rFonts w:hint="eastAsia"/>
        </w:rPr>
        <w:t>辅修学士学位教育的课程全部为必修课程，原则上为单独编班授课，授课形式为课堂面授，主要集中在周六日以及寒暑假部分时间。</w:t>
      </w:r>
    </w:p>
    <w:p w14:paraId="43AA6743">
      <w:pPr>
        <w:spacing w:line="360" w:lineRule="auto"/>
      </w:pPr>
    </w:p>
    <w:p w14:paraId="7B485AA4">
      <w:pPr>
        <w:spacing w:line="360" w:lineRule="auto"/>
        <w:rPr>
          <w:b/>
        </w:rPr>
      </w:pPr>
      <w:r>
        <w:rPr>
          <w:rFonts w:hint="eastAsia"/>
          <w:b/>
        </w:rPr>
        <w:t>成绩管理：</w:t>
      </w:r>
    </w:p>
    <w:p w14:paraId="21CA3599">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辅修学士学位的成绩，按照《北京中医药大学本（专）科学生学籍管理规定》进行管理。</w:t>
      </w:r>
    </w:p>
    <w:p w14:paraId="6576F756">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辅修学士学位课程考试不设置补（缓）考，首次考试未通过的，只允许重修一次。学生因故未能修满辅修学士学位专业培养方案要求的学分而终止学习，学生所修课程中及格课程的成绩和学分经开设学院审批后可作为选修课程成绩记载。辅修学士学位课程的成绩和学分不能替代主修专业课程的成绩和学分。</w:t>
      </w:r>
    </w:p>
    <w:p w14:paraId="1FFB8665">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根据</w:t>
      </w:r>
      <w:r>
        <w:rPr>
          <w:rFonts w:hint="eastAsia"/>
        </w:rPr>
        <w:t>《北京中医药大学本（专）科学生学籍管理规定》，</w:t>
      </w:r>
      <w:r>
        <w:rPr>
          <w:rFonts w:hint="eastAsia" w:ascii="宋体" w:hAnsi="宋体" w:cs="Songti SC"/>
          <w:color w:val="000000"/>
          <w:kern w:val="0"/>
          <w:szCs w:val="28"/>
        </w:rPr>
        <w:t>未按时完成课程学习或出勤未达到要求者，成绩按0分处理或取消考试资格。</w:t>
      </w:r>
    </w:p>
    <w:p w14:paraId="0F5F969A">
      <w:pPr>
        <w:spacing w:line="360" w:lineRule="auto"/>
        <w:ind w:firstLine="420"/>
        <w:rPr>
          <w:rFonts w:ascii="宋体" w:hAnsi="宋体" w:cs="Songti SC"/>
          <w:color w:val="000000"/>
          <w:kern w:val="0"/>
          <w:szCs w:val="28"/>
        </w:rPr>
      </w:pPr>
      <w:r>
        <w:rPr>
          <w:rFonts w:hint="eastAsia" w:ascii="宋体" w:hAnsi="宋体" w:cs="Songti SC"/>
          <w:color w:val="000000"/>
          <w:kern w:val="0"/>
          <w:szCs w:val="28"/>
        </w:rPr>
        <w:t>学生应认真遵守学校的考试纪律。对于违反考试纪律或作弊的，应依据《北京中医药大学本（专）科学生考场规则》处理。</w:t>
      </w:r>
    </w:p>
    <w:p w14:paraId="6121577A">
      <w:pPr>
        <w:spacing w:line="360" w:lineRule="auto"/>
        <w:ind w:firstLine="420"/>
      </w:pPr>
    </w:p>
    <w:p w14:paraId="5725D2BD">
      <w:pPr>
        <w:spacing w:line="360" w:lineRule="auto"/>
        <w:rPr>
          <w:b/>
        </w:rPr>
      </w:pPr>
      <w:r>
        <w:rPr>
          <w:rFonts w:hint="eastAsia"/>
          <w:b/>
        </w:rPr>
        <w:t>抵免与缓修：</w:t>
      </w:r>
    </w:p>
    <w:p w14:paraId="61127A52">
      <w:pPr>
        <w:spacing w:line="360" w:lineRule="auto"/>
        <w:ind w:firstLine="420" w:firstLineChars="200"/>
      </w:pPr>
      <w:r>
        <w:rPr>
          <w:rFonts w:hint="eastAsia"/>
        </w:rPr>
        <w:t>抵免</w:t>
      </w:r>
      <w:r>
        <w:t>：</w:t>
      </w:r>
      <w:r>
        <w:rPr>
          <w:rFonts w:hint="eastAsia"/>
        </w:rPr>
        <w:t>若辅修学士学位培养方案与主修专业培养方案中有相同课程（主修专业课程学分不低于辅修学士学位课程），在主修专业中已修完并考试合格的学生可在每学期指定时间内申请课程抵免（实践教学环节除外），经开设学院对课程教学及考核内容审核批准后予以抵免，并报教务处备案。</w:t>
      </w:r>
    </w:p>
    <w:p w14:paraId="1CEB7794">
      <w:pPr>
        <w:spacing w:line="360" w:lineRule="auto"/>
        <w:ind w:firstLine="420" w:firstLineChars="200"/>
      </w:pPr>
      <w:r>
        <w:rPr>
          <w:rFonts w:hint="eastAsia"/>
        </w:rPr>
        <w:t>缓修</w:t>
      </w:r>
      <w:r>
        <w:t>：</w:t>
      </w:r>
      <w:r>
        <w:rPr>
          <w:rFonts w:hint="eastAsia" w:ascii="宋体" w:hAnsi="宋体" w:cs="Songti SC"/>
          <w:color w:val="000000"/>
          <w:kern w:val="0"/>
          <w:szCs w:val="28"/>
        </w:rPr>
        <w:t>学生因故无法完成某门课程的学习，可在每学期指定时间内提交缓修申请，经审核通过后方可缓修，缓修存在主修专业毕业前无法完成辅修课程学习的可能。</w:t>
      </w:r>
    </w:p>
    <w:p w14:paraId="10572FCD">
      <w:pPr>
        <w:spacing w:line="360" w:lineRule="auto"/>
        <w:ind w:firstLine="420" w:firstLineChars="200"/>
      </w:pPr>
      <w:r>
        <w:rPr>
          <w:rFonts w:hint="eastAsia"/>
        </w:rPr>
        <w:t>根据辅修学士学位培养方案，若</w:t>
      </w:r>
      <w:r>
        <w:t>主修专业</w:t>
      </w:r>
      <w:r>
        <w:rPr>
          <w:rFonts w:hint="eastAsia"/>
        </w:rPr>
        <w:t>所开设的可抵免</w:t>
      </w:r>
      <w:r>
        <w:t>课程</w:t>
      </w:r>
      <w:r>
        <w:rPr>
          <w:rFonts w:hint="eastAsia"/>
        </w:rPr>
        <w:t>，</w:t>
      </w:r>
      <w:r>
        <w:t>开课</w:t>
      </w:r>
      <w:r>
        <w:rPr>
          <w:rFonts w:hint="eastAsia"/>
        </w:rPr>
        <w:t>时</w:t>
      </w:r>
      <w:r>
        <w:t>间在</w:t>
      </w:r>
      <w:r>
        <w:rPr>
          <w:rFonts w:hint="eastAsia"/>
        </w:rPr>
        <w:t>辅修学士学位课程之后的</w:t>
      </w:r>
      <w:r>
        <w:t>，</w:t>
      </w:r>
      <w:r>
        <w:rPr>
          <w:rFonts w:hint="eastAsia"/>
        </w:rPr>
        <w:t>学生</w:t>
      </w:r>
      <w:r>
        <w:t>可先申请缓修</w:t>
      </w:r>
      <w:r>
        <w:rPr>
          <w:rFonts w:hint="eastAsia"/>
        </w:rPr>
        <w:t>，待课程</w:t>
      </w:r>
      <w:r>
        <w:t>考试合格后，</w:t>
      </w:r>
      <w:r>
        <w:rPr>
          <w:rFonts w:hint="eastAsia"/>
        </w:rPr>
        <w:t>可</w:t>
      </w:r>
      <w:r>
        <w:t>申请</w:t>
      </w:r>
      <w:r>
        <w:rPr>
          <w:rFonts w:hint="eastAsia"/>
        </w:rPr>
        <w:t>抵免。未按要求提交申请且未完成课程学习的，</w:t>
      </w:r>
      <w:r>
        <w:rPr>
          <w:rFonts w:hint="eastAsia" w:ascii="宋体" w:hAnsi="宋体" w:cs="Songti SC"/>
          <w:color w:val="000000"/>
          <w:kern w:val="0"/>
          <w:szCs w:val="28"/>
        </w:rPr>
        <w:t>成绩按0分处理。</w:t>
      </w:r>
      <w:r>
        <w:rPr>
          <w:rFonts w:hint="eastAsia"/>
        </w:rPr>
        <w:t>因主修专业可抵免课程考试考核不合格，未取得辅修学士学位学分，造成无法完成辅修学士学位培养计划的，由学生本人负责。</w:t>
      </w:r>
    </w:p>
    <w:p w14:paraId="7BD18670">
      <w:pPr>
        <w:spacing w:line="360" w:lineRule="auto"/>
        <w:rPr>
          <w:b/>
        </w:rPr>
      </w:pPr>
    </w:p>
    <w:p w14:paraId="301F7505">
      <w:pPr>
        <w:spacing w:line="360" w:lineRule="auto"/>
        <w:rPr>
          <w:b/>
        </w:rPr>
      </w:pPr>
      <w:r>
        <w:rPr>
          <w:rFonts w:hint="eastAsia"/>
          <w:b/>
        </w:rPr>
        <w:t>学位资格：</w:t>
      </w:r>
    </w:p>
    <w:p w14:paraId="41D8FDE2">
      <w:pPr>
        <w:spacing w:line="360" w:lineRule="auto"/>
        <w:ind w:firstLine="420" w:firstLineChars="200"/>
      </w:pPr>
      <w:r>
        <w:rPr>
          <w:rFonts w:hint="eastAsia"/>
        </w:rPr>
        <w:t xml:space="preserve">辅修学士学位授予资格由开设学院负责审核，对符合条件的，经各学位评定委员会分委员会讨论通过，校学位评定委员会审定的，授予辅修学士学位。 </w:t>
      </w:r>
    </w:p>
    <w:p w14:paraId="3C90A25D">
      <w:pPr>
        <w:spacing w:line="360" w:lineRule="auto"/>
        <w:ind w:firstLine="420" w:firstLineChars="200"/>
      </w:pPr>
      <w:r>
        <w:rPr>
          <w:rFonts w:hint="eastAsia"/>
        </w:rPr>
        <w:t xml:space="preserve">有下列情况之一的，不能授予辅修学士学位： </w:t>
      </w:r>
    </w:p>
    <w:p w14:paraId="13B1ACC5">
      <w:pPr>
        <w:spacing w:line="360" w:lineRule="auto"/>
        <w:ind w:firstLine="420" w:firstLineChars="200"/>
      </w:pPr>
      <w:r>
        <w:rPr>
          <w:rFonts w:hint="eastAsia"/>
        </w:rPr>
        <w:t>（一）未达到主修专业学士学位授予条件的；</w:t>
      </w:r>
    </w:p>
    <w:p w14:paraId="223DB305">
      <w:pPr>
        <w:spacing w:line="360" w:lineRule="auto"/>
        <w:ind w:firstLine="420" w:firstLineChars="200"/>
      </w:pPr>
      <w:r>
        <w:rPr>
          <w:rFonts w:hint="eastAsia"/>
        </w:rPr>
        <w:t xml:space="preserve">（二）未修完辅修学士学位专业培养方案要求学分的； </w:t>
      </w:r>
    </w:p>
    <w:p w14:paraId="34099C29">
      <w:pPr>
        <w:spacing w:line="360" w:lineRule="auto"/>
        <w:ind w:firstLine="420" w:firstLineChars="200"/>
      </w:pPr>
      <w:r>
        <w:rPr>
          <w:rFonts w:hint="eastAsia"/>
        </w:rPr>
        <w:t>（三）辅修学士学位课程平均学分绩点低于</w:t>
      </w:r>
      <w:r>
        <w:rPr>
          <w:rFonts w:hint="eastAsia" w:ascii="宋体" w:hAnsi="宋体" w:eastAsia="宋体" w:cs="宋体"/>
        </w:rPr>
        <w:t>2.0</w:t>
      </w:r>
      <w:r>
        <w:rPr>
          <w:rFonts w:hint="eastAsia"/>
        </w:rPr>
        <w:t xml:space="preserve">的； </w:t>
      </w:r>
    </w:p>
    <w:p w14:paraId="6FB8A676">
      <w:pPr>
        <w:spacing w:line="360" w:lineRule="auto"/>
        <w:ind w:firstLine="420" w:firstLineChars="200"/>
      </w:pPr>
      <w:r>
        <w:rPr>
          <w:rFonts w:hint="eastAsia"/>
        </w:rPr>
        <w:t>（四）未通过辅修学士学位学位论文（或毕业设计）答辩的。</w:t>
      </w:r>
    </w:p>
    <w:p w14:paraId="19D6E758">
      <w:pPr>
        <w:spacing w:line="360" w:lineRule="auto"/>
        <w:ind w:firstLine="420" w:firstLineChars="200"/>
      </w:pPr>
      <w:r>
        <w:rPr>
          <w:rFonts w:hint="eastAsia"/>
        </w:rPr>
        <w:t xml:space="preserve">辅修学士学位不单独颁发学位证书，在主修学士学位证书中予以注明。 </w:t>
      </w:r>
    </w:p>
    <w:p w14:paraId="17247596">
      <w:pPr>
        <w:spacing w:line="360" w:lineRule="auto"/>
        <w:ind w:firstLine="420" w:firstLineChars="200"/>
      </w:pPr>
      <w:r>
        <w:rPr>
          <w:rFonts w:hint="eastAsia"/>
        </w:rPr>
        <w:t>学生未达到主修专业学士学位授予条件，但符合辅修学士学位其他授予条件，按学校相关规定，可在达到主修专业学士学位授予条件后，补授主修专业学士学位及辅修学士学位。</w:t>
      </w:r>
    </w:p>
    <w:p w14:paraId="6CBFCC0A">
      <w:pPr>
        <w:spacing w:line="360" w:lineRule="auto"/>
        <w:ind w:firstLine="420" w:firstLineChars="200"/>
      </w:pPr>
      <w:r>
        <w:rPr>
          <w:rFonts w:hint="eastAsia"/>
        </w:rPr>
        <w:t>学生主修专业学业结束（毕业或结业离校），辅修学士学位专业学习同时终止。</w:t>
      </w:r>
    </w:p>
    <w:p w14:paraId="15037F97">
      <w:pPr>
        <w:spacing w:line="360" w:lineRule="auto"/>
      </w:pPr>
    </w:p>
    <w:p w14:paraId="42428352">
      <w:pPr>
        <w:spacing w:line="360" w:lineRule="auto"/>
        <w:rPr>
          <w:b/>
        </w:rPr>
      </w:pPr>
      <w:bookmarkStart w:id="2" w:name="OLE_LINK5"/>
      <w:bookmarkStart w:id="3" w:name="OLE_LINK6"/>
      <w:r>
        <w:rPr>
          <w:rFonts w:hint="eastAsia"/>
          <w:b/>
        </w:rPr>
        <w:t>收费标准：</w:t>
      </w:r>
    </w:p>
    <w:p w14:paraId="0CB4B4DD">
      <w:pPr>
        <w:widowControl/>
        <w:autoSpaceDE w:val="0"/>
        <w:autoSpaceDN w:val="0"/>
        <w:adjustRightInd w:val="0"/>
        <w:spacing w:line="360" w:lineRule="auto"/>
        <w:ind w:firstLine="420" w:firstLineChars="200"/>
        <w:jc w:val="left"/>
      </w:pPr>
      <w:r>
        <w:rPr>
          <w:rFonts w:hint="eastAsia"/>
        </w:rPr>
        <w:t>每学分</w:t>
      </w:r>
      <w:r>
        <w:rPr>
          <w:rFonts w:hint="default" w:ascii="宋体" w:hAnsi="宋体" w:cs="Songti SC"/>
          <w:color w:val="000000"/>
          <w:kern w:val="0"/>
          <w:szCs w:val="28"/>
          <w:lang w:val="en-US" w:eastAsia="zh-CN"/>
        </w:rPr>
        <w:t>120</w:t>
      </w:r>
      <w:r>
        <w:rPr>
          <w:rFonts w:hint="eastAsia"/>
        </w:rPr>
        <w:t>元，实行按学分缴费方式。经录取修读辅修学士学位的学生，按规定时间办理首次缴费注册手续，每学期开学根据该学年教学计划规定的应修读课程的学分数，按照学校财务处规定的缴费手续进行缴费。学生未在</w:t>
      </w:r>
      <w:r>
        <w:t>规定时间内</w:t>
      </w:r>
      <w:r>
        <w:rPr>
          <w:rFonts w:hint="eastAsia"/>
        </w:rPr>
        <w:t>办理缴费手续，视为放弃修读辅修学士学位资格。学生未完成修读计划或未达到辅修学士学位授予条件的，已缴纳费用不予退还。重修课程按学分缴纳重修费用。经批准同意抵免的课程不收取费用。</w:t>
      </w:r>
      <w:r>
        <w:rPr>
          <w:rFonts w:hint="eastAsia" w:ascii="宋体" w:hAnsi="宋体" w:cs="Songti SC"/>
          <w:color w:val="000000"/>
          <w:kern w:val="0"/>
          <w:szCs w:val="28"/>
        </w:rPr>
        <w:t>申请缓修的课程在补修学年进行缴费。</w:t>
      </w:r>
    </w:p>
    <w:p w14:paraId="0B8B2E1F">
      <w:pPr>
        <w:widowControl/>
        <w:autoSpaceDE w:val="0"/>
        <w:autoSpaceDN w:val="0"/>
        <w:adjustRightInd w:val="0"/>
        <w:spacing w:line="360" w:lineRule="auto"/>
        <w:ind w:firstLine="420" w:firstLineChars="200"/>
        <w:jc w:val="left"/>
      </w:pPr>
    </w:p>
    <w:p w14:paraId="757518B3">
      <w:pPr>
        <w:spacing w:line="360" w:lineRule="auto"/>
        <w:rPr>
          <w:b/>
        </w:rPr>
      </w:pPr>
      <w:r>
        <w:rPr>
          <w:rFonts w:hint="eastAsia"/>
          <w:b/>
        </w:rPr>
        <w:t>报名事宜：</w:t>
      </w:r>
    </w:p>
    <w:p w14:paraId="28418922">
      <w:pPr>
        <w:widowControl/>
        <w:autoSpaceDE w:val="0"/>
        <w:autoSpaceDN w:val="0"/>
        <w:adjustRightInd w:val="0"/>
        <w:spacing w:line="360" w:lineRule="auto"/>
        <w:ind w:firstLine="420" w:firstLineChars="200"/>
        <w:jc w:val="both"/>
        <w:rPr>
          <w:rFonts w:ascii="宋体" w:hAnsi="宋体" w:cs="Songti SC"/>
          <w:color w:val="000000"/>
          <w:kern w:val="0"/>
          <w:szCs w:val="28"/>
        </w:rPr>
      </w:pPr>
      <w:r>
        <w:rPr>
          <w:rFonts w:hint="eastAsia" w:ascii="宋体" w:hAnsi="宋体" w:cs="Songti SC"/>
          <w:color w:val="000000"/>
          <w:kern w:val="0"/>
          <w:szCs w:val="28"/>
        </w:rPr>
        <w:drawing>
          <wp:anchor distT="0" distB="0" distL="114300" distR="114300" simplePos="0" relativeHeight="251659264" behindDoc="1" locked="0" layoutInCell="1" allowOverlap="1">
            <wp:simplePos x="0" y="0"/>
            <wp:positionH relativeFrom="column">
              <wp:posOffset>3896360</wp:posOffset>
            </wp:positionH>
            <wp:positionV relativeFrom="paragraph">
              <wp:posOffset>88900</wp:posOffset>
            </wp:positionV>
            <wp:extent cx="1435100" cy="1958975"/>
            <wp:effectExtent l="0" t="0" r="0" b="0"/>
            <wp:wrapTight wrapText="bothSides">
              <wp:wrapPolygon>
                <wp:start x="0" y="0"/>
                <wp:lineTo x="0" y="21425"/>
                <wp:lineTo x="21409" y="21425"/>
                <wp:lineTo x="21409" y="0"/>
                <wp:lineTo x="0" y="0"/>
              </wp:wrapPolygon>
            </wp:wrapTight>
            <wp:docPr id="2" name="图片 2" descr="b531ed3e1a1bc061fcdd108a2ba95f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531ed3e1a1bc061fcdd108a2ba95f8d"/>
                    <pic:cNvPicPr>
                      <a:picLocks noChangeAspect="1"/>
                    </pic:cNvPicPr>
                  </pic:nvPicPr>
                  <pic:blipFill>
                    <a:blip r:embed="rId4"/>
                    <a:stretch>
                      <a:fillRect/>
                    </a:stretch>
                  </pic:blipFill>
                  <pic:spPr>
                    <a:xfrm>
                      <a:off x="0" y="0"/>
                      <a:ext cx="1435100" cy="1958975"/>
                    </a:xfrm>
                    <a:prstGeom prst="rect">
                      <a:avLst/>
                    </a:prstGeom>
                  </pic:spPr>
                </pic:pic>
              </a:graphicData>
            </a:graphic>
          </wp:anchor>
        </w:drawing>
      </w:r>
      <w:r>
        <w:rPr>
          <w:rFonts w:hint="eastAsia" w:ascii="宋体" w:hAnsi="宋体" w:cs="Songti SC"/>
          <w:color w:val="000000"/>
          <w:kern w:val="0"/>
          <w:szCs w:val="28"/>
        </w:rPr>
        <w:t>凡符合报名条件拟修读法学辅修学士学位的学生，根据学校通知</w:t>
      </w:r>
      <w:r>
        <w:rPr>
          <w:rFonts w:ascii="宋体" w:hAnsi="宋体" w:cs="Songti SC"/>
          <w:color w:val="000000"/>
          <w:kern w:val="0"/>
          <w:szCs w:val="28"/>
        </w:rPr>
        <w:t>进行报名</w:t>
      </w:r>
      <w:r>
        <w:rPr>
          <w:rFonts w:hint="eastAsia" w:ascii="宋体" w:hAnsi="宋体" w:cs="Songti SC"/>
          <w:color w:val="000000"/>
          <w:kern w:val="0"/>
          <w:szCs w:val="28"/>
        </w:rPr>
        <w:t>，人文学院进行选拔，经审核后于开学第一周公布录取名单。</w:t>
      </w:r>
    </w:p>
    <w:p w14:paraId="7536ABCC">
      <w:pPr>
        <w:widowControl/>
        <w:autoSpaceDE w:val="0"/>
        <w:autoSpaceDN w:val="0"/>
        <w:adjustRightInd w:val="0"/>
        <w:spacing w:line="360" w:lineRule="auto"/>
        <w:ind w:firstLine="420" w:firstLineChars="200"/>
        <w:jc w:val="both"/>
        <w:rPr>
          <w:rFonts w:ascii="宋体" w:hAnsi="宋体" w:cs="Songti SC"/>
          <w:color w:val="000000"/>
          <w:kern w:val="0"/>
          <w:szCs w:val="28"/>
        </w:rPr>
      </w:pPr>
      <w:r>
        <w:rPr>
          <w:rFonts w:hint="eastAsia" w:ascii="宋体" w:hAnsi="宋体" w:cs="Songti SC"/>
          <w:color w:val="000000"/>
          <w:kern w:val="0"/>
          <w:szCs w:val="28"/>
        </w:rPr>
        <w:t>报名时间：20</w:t>
      </w:r>
      <w:r>
        <w:rPr>
          <w:rFonts w:ascii="宋体" w:hAnsi="宋体" w:cs="Songti SC"/>
          <w:color w:val="000000"/>
          <w:kern w:val="0"/>
          <w:szCs w:val="28"/>
        </w:rPr>
        <w:t>2</w:t>
      </w:r>
      <w:r>
        <w:rPr>
          <w:rFonts w:hint="eastAsia" w:ascii="宋体" w:hAnsi="宋体" w:cs="Songti SC"/>
          <w:color w:val="000000"/>
          <w:kern w:val="0"/>
          <w:szCs w:val="28"/>
          <w:lang w:val="en-US" w:eastAsia="zh-CN"/>
        </w:rPr>
        <w:t>6</w:t>
      </w:r>
      <w:r>
        <w:rPr>
          <w:rFonts w:hint="eastAsia" w:ascii="宋体" w:hAnsi="宋体" w:cs="Songti SC"/>
          <w:color w:val="000000"/>
          <w:kern w:val="0"/>
          <w:szCs w:val="28"/>
        </w:rPr>
        <w:t>年8月</w:t>
      </w:r>
      <w:r>
        <w:rPr>
          <w:rFonts w:hint="eastAsia" w:ascii="宋体" w:hAnsi="宋体" w:cs="Songti SC"/>
          <w:color w:val="000000"/>
          <w:kern w:val="0"/>
          <w:szCs w:val="28"/>
          <w:lang w:val="en-US" w:eastAsia="zh-CN"/>
        </w:rPr>
        <w:t>31</w:t>
      </w:r>
      <w:r>
        <w:rPr>
          <w:rFonts w:hint="eastAsia" w:ascii="宋体" w:hAnsi="宋体" w:cs="Songti SC"/>
          <w:color w:val="000000"/>
          <w:kern w:val="0"/>
          <w:szCs w:val="28"/>
        </w:rPr>
        <w:t>日</w:t>
      </w:r>
      <w:bookmarkStart w:id="4" w:name="_GoBack"/>
      <w:bookmarkEnd w:id="4"/>
      <w:r>
        <w:rPr>
          <w:rFonts w:hint="eastAsia" w:ascii="宋体" w:hAnsi="宋体" w:cs="Songti SC"/>
          <w:color w:val="000000"/>
          <w:kern w:val="0"/>
          <w:szCs w:val="28"/>
        </w:rPr>
        <w:t>—20</w:t>
      </w:r>
      <w:r>
        <w:rPr>
          <w:rFonts w:ascii="宋体" w:hAnsi="宋体" w:cs="Songti SC"/>
          <w:color w:val="000000"/>
          <w:kern w:val="0"/>
          <w:szCs w:val="28"/>
        </w:rPr>
        <w:t>2</w:t>
      </w:r>
      <w:r>
        <w:rPr>
          <w:rFonts w:hint="eastAsia" w:ascii="宋体" w:hAnsi="宋体" w:cs="Songti SC"/>
          <w:color w:val="000000"/>
          <w:kern w:val="0"/>
          <w:szCs w:val="28"/>
          <w:lang w:val="en-US" w:eastAsia="zh-CN"/>
        </w:rPr>
        <w:t>6</w:t>
      </w:r>
      <w:r>
        <w:rPr>
          <w:rFonts w:hint="eastAsia" w:ascii="宋体" w:hAnsi="宋体" w:cs="Songti SC"/>
          <w:color w:val="000000"/>
          <w:kern w:val="0"/>
          <w:szCs w:val="28"/>
        </w:rPr>
        <w:t>年</w:t>
      </w:r>
      <w:r>
        <w:rPr>
          <w:rFonts w:hint="eastAsia" w:ascii="宋体" w:hAnsi="宋体" w:cs="Songti SC"/>
          <w:color w:val="000000"/>
          <w:kern w:val="0"/>
          <w:szCs w:val="28"/>
          <w:lang w:val="en-US" w:eastAsia="zh-CN"/>
        </w:rPr>
        <w:t>9</w:t>
      </w:r>
      <w:r>
        <w:rPr>
          <w:rFonts w:hint="eastAsia" w:ascii="宋体" w:hAnsi="宋体" w:cs="Songti SC"/>
          <w:color w:val="000000"/>
          <w:kern w:val="0"/>
          <w:szCs w:val="28"/>
        </w:rPr>
        <w:t>月</w:t>
      </w:r>
      <w:r>
        <w:rPr>
          <w:rFonts w:hint="eastAsia" w:ascii="宋体" w:hAnsi="宋体" w:cs="Songti SC"/>
          <w:color w:val="000000"/>
          <w:kern w:val="0"/>
          <w:szCs w:val="28"/>
          <w:lang w:val="en-US" w:eastAsia="zh-CN"/>
        </w:rPr>
        <w:t>4</w:t>
      </w:r>
      <w:r>
        <w:rPr>
          <w:rFonts w:hint="eastAsia" w:ascii="宋体" w:hAnsi="宋体" w:cs="Songti SC"/>
          <w:color w:val="000000"/>
          <w:kern w:val="0"/>
          <w:szCs w:val="28"/>
        </w:rPr>
        <w:t>日</w:t>
      </w:r>
    </w:p>
    <w:p w14:paraId="4D69B821">
      <w:pPr>
        <w:widowControl/>
        <w:autoSpaceDE w:val="0"/>
        <w:autoSpaceDN w:val="0"/>
        <w:adjustRightInd w:val="0"/>
        <w:spacing w:line="360" w:lineRule="auto"/>
        <w:ind w:firstLine="420" w:firstLineChars="200"/>
        <w:jc w:val="both"/>
        <w:rPr>
          <w:rFonts w:ascii="宋体" w:hAnsi="宋体" w:cs="Songti SC"/>
          <w:color w:val="000000"/>
          <w:kern w:val="0"/>
          <w:szCs w:val="28"/>
        </w:rPr>
      </w:pPr>
      <w:r>
        <w:rPr>
          <w:rFonts w:hint="eastAsia" w:ascii="宋体" w:hAnsi="宋体" w:cs="Songti SC"/>
          <w:color w:val="000000"/>
          <w:kern w:val="0"/>
          <w:szCs w:val="28"/>
        </w:rPr>
        <w:t>报名咨询：</w:t>
      </w:r>
      <w:bookmarkEnd w:id="2"/>
      <w:bookmarkEnd w:id="3"/>
      <w:r>
        <w:rPr>
          <w:rFonts w:hint="eastAsia" w:ascii="宋体" w:hAnsi="宋体" w:cs="Songti SC"/>
          <w:color w:val="000000"/>
          <w:kern w:val="0"/>
          <w:szCs w:val="28"/>
        </w:rPr>
        <w:t>加入“202</w:t>
      </w:r>
      <w:r>
        <w:rPr>
          <w:rFonts w:hint="eastAsia" w:ascii="宋体" w:hAnsi="宋体" w:cs="Songti SC"/>
          <w:color w:val="000000"/>
          <w:kern w:val="0"/>
          <w:szCs w:val="28"/>
          <w:lang w:val="en-US" w:eastAsia="zh-CN"/>
        </w:rPr>
        <w:t>6</w:t>
      </w:r>
      <w:r>
        <w:rPr>
          <w:rFonts w:hint="eastAsia" w:ascii="宋体" w:hAnsi="宋体" w:cs="Songti SC"/>
          <w:color w:val="000000"/>
          <w:kern w:val="0"/>
          <w:szCs w:val="28"/>
        </w:rPr>
        <w:t>法学辅修学士学位报名咨询”群进行咨询（扫描右侧二维码入群，入群后把群里的昵称改为“学院+学号+姓名”）。</w:t>
      </w:r>
    </w:p>
    <w:p w14:paraId="6BC9B01D">
      <w:pPr>
        <w:widowControl/>
        <w:autoSpaceDE w:val="0"/>
        <w:autoSpaceDN w:val="0"/>
        <w:adjustRightInd w:val="0"/>
        <w:spacing w:line="360" w:lineRule="auto"/>
        <w:ind w:firstLine="420" w:firstLineChars="200"/>
        <w:jc w:val="both"/>
        <w:rPr>
          <w:rFonts w:ascii="宋体" w:hAnsi="宋体" w:cs="Songti SC"/>
          <w:color w:val="000000"/>
          <w:kern w:val="0"/>
          <w:szCs w:val="28"/>
        </w:rPr>
      </w:pPr>
      <w:r>
        <w:rPr>
          <w:rFonts w:hint="eastAsia" w:ascii="宋体" w:hAnsi="宋体" w:cs="Songti SC"/>
          <w:color w:val="000000"/>
          <w:kern w:val="0"/>
          <w:szCs w:val="28"/>
        </w:rPr>
        <w:t>线上</w:t>
      </w:r>
      <w:r>
        <w:rPr>
          <w:rFonts w:hint="eastAsia" w:ascii="宋体" w:hAnsi="宋体" w:cs="Songti SC"/>
          <w:color w:val="000000"/>
          <w:kern w:val="0"/>
          <w:szCs w:val="28"/>
          <w:lang w:val="en-US" w:eastAsia="zh-CN"/>
        </w:rPr>
        <w:t>招生</w:t>
      </w:r>
      <w:r>
        <w:rPr>
          <w:rFonts w:hint="eastAsia" w:ascii="宋体" w:hAnsi="宋体" w:cs="Songti SC"/>
          <w:color w:val="000000"/>
          <w:kern w:val="0"/>
          <w:szCs w:val="28"/>
        </w:rPr>
        <w:t>说明会：202</w:t>
      </w:r>
      <w:r>
        <w:rPr>
          <w:rFonts w:hint="eastAsia" w:ascii="宋体" w:hAnsi="宋体" w:cs="Songti SC"/>
          <w:color w:val="000000"/>
          <w:kern w:val="0"/>
          <w:szCs w:val="28"/>
          <w:lang w:val="en-US" w:eastAsia="zh-CN"/>
        </w:rPr>
        <w:t>6</w:t>
      </w:r>
      <w:r>
        <w:rPr>
          <w:rFonts w:hint="eastAsia" w:ascii="宋体" w:hAnsi="宋体" w:cs="Songti SC"/>
          <w:color w:val="000000"/>
          <w:kern w:val="0"/>
          <w:szCs w:val="28"/>
        </w:rPr>
        <w:t>年法学辅修学士学位</w:t>
      </w:r>
      <w:r>
        <w:rPr>
          <w:rFonts w:hint="eastAsia" w:ascii="宋体" w:hAnsi="宋体" w:cs="Songti SC"/>
          <w:color w:val="000000"/>
          <w:kern w:val="0"/>
          <w:szCs w:val="28"/>
          <w:lang w:val="en-US" w:eastAsia="zh-CN"/>
        </w:rPr>
        <w:t>招生</w:t>
      </w:r>
      <w:r>
        <w:rPr>
          <w:rFonts w:hint="eastAsia" w:ascii="宋体" w:hAnsi="宋体" w:cs="Songti SC"/>
          <w:color w:val="000000"/>
          <w:kern w:val="0"/>
          <w:szCs w:val="28"/>
        </w:rPr>
        <w:t>说明会将于</w:t>
      </w:r>
      <w:r>
        <w:rPr>
          <w:rFonts w:ascii="宋体" w:hAnsi="宋体" w:cs="Songti SC"/>
          <w:color w:val="000000"/>
          <w:kern w:val="0"/>
          <w:szCs w:val="28"/>
        </w:rPr>
        <w:t>7</w:t>
      </w:r>
      <w:r>
        <w:rPr>
          <w:rFonts w:hint="eastAsia" w:ascii="宋体" w:hAnsi="宋体" w:cs="Songti SC"/>
          <w:color w:val="000000"/>
          <w:kern w:val="0"/>
          <w:szCs w:val="28"/>
        </w:rPr>
        <w:t>月</w:t>
      </w:r>
      <w:r>
        <w:rPr>
          <w:rFonts w:hint="eastAsia" w:ascii="宋体" w:hAnsi="宋体" w:cs="Songti SC"/>
          <w:color w:val="000000"/>
          <w:kern w:val="0"/>
          <w:szCs w:val="28"/>
          <w:lang w:val="en-US" w:eastAsia="zh-CN"/>
        </w:rPr>
        <w:t>29</w:t>
      </w:r>
      <w:r>
        <w:rPr>
          <w:rFonts w:hint="eastAsia" w:ascii="宋体" w:hAnsi="宋体" w:cs="Songti SC"/>
          <w:color w:val="000000"/>
          <w:kern w:val="0"/>
          <w:szCs w:val="28"/>
        </w:rPr>
        <w:t>日</w:t>
      </w:r>
      <w:r>
        <w:rPr>
          <w:rFonts w:hint="eastAsia" w:ascii="宋体" w:hAnsi="宋体" w:cs="Songti SC"/>
          <w:color w:val="000000"/>
          <w:kern w:val="0"/>
          <w:szCs w:val="28"/>
          <w:lang w:val="en-US" w:eastAsia="zh-CN"/>
        </w:rPr>
        <w:t>上</w:t>
      </w:r>
      <w:r>
        <w:rPr>
          <w:rFonts w:hint="eastAsia" w:ascii="宋体" w:hAnsi="宋体" w:cs="Songti SC"/>
          <w:color w:val="000000"/>
          <w:kern w:val="0"/>
          <w:szCs w:val="28"/>
          <w:lang w:eastAsia="zh-CN"/>
        </w:rPr>
        <w:t>午</w:t>
      </w:r>
      <w:r>
        <w:rPr>
          <w:rFonts w:hint="eastAsia" w:ascii="宋体" w:hAnsi="宋体" w:cs="Songti SC"/>
          <w:color w:val="000000"/>
          <w:kern w:val="0"/>
          <w:szCs w:val="28"/>
          <w:lang w:val="en-US" w:eastAsia="zh-CN"/>
        </w:rPr>
        <w:t>10:30</w:t>
      </w:r>
      <w:r>
        <w:rPr>
          <w:rFonts w:hint="eastAsia" w:ascii="宋体" w:hAnsi="宋体" w:cs="Songti SC"/>
          <w:color w:val="000000"/>
          <w:kern w:val="0"/>
          <w:szCs w:val="28"/>
        </w:rPr>
        <w:t>通过腾讯会议召开（会议号：</w:t>
      </w:r>
      <w:r>
        <w:rPr>
          <w:rFonts w:hint="eastAsia" w:ascii="宋体" w:hAnsi="宋体" w:cs="Songti SC"/>
          <w:color w:val="000000"/>
          <w:kern w:val="0"/>
          <w:szCs w:val="28"/>
          <w:lang w:val="en-US" w:eastAsia="zh-CN"/>
        </w:rPr>
        <w:t>482 766 439</w:t>
      </w:r>
      <w:r>
        <w:rPr>
          <w:rFonts w:hint="eastAsia" w:ascii="宋体" w:hAnsi="宋体" w:cs="Songti SC"/>
          <w:color w:val="000000"/>
          <w:kern w:val="0"/>
          <w:szCs w:val="28"/>
        </w:rPr>
        <w:t>），请有辅修法学学士学位意向的同学届时参会咨询。</w:t>
      </w:r>
    </w:p>
    <w:p w14:paraId="214506C3">
      <w:pPr>
        <w:widowControl/>
        <w:autoSpaceDE w:val="0"/>
        <w:autoSpaceDN w:val="0"/>
        <w:adjustRightInd w:val="0"/>
        <w:spacing w:line="360" w:lineRule="auto"/>
        <w:ind w:firstLine="420" w:firstLineChars="200"/>
        <w:jc w:val="left"/>
        <w:rPr>
          <w:rFonts w:ascii="宋体" w:hAnsi="宋体" w:cs="Songti SC"/>
          <w:color w:val="000000"/>
          <w:kern w:val="0"/>
          <w:szCs w:val="28"/>
        </w:rPr>
      </w:pPr>
    </w:p>
    <w:p w14:paraId="3376387B">
      <w:pPr>
        <w:widowControl/>
        <w:autoSpaceDE w:val="0"/>
        <w:autoSpaceDN w:val="0"/>
        <w:adjustRightInd w:val="0"/>
        <w:spacing w:line="360" w:lineRule="auto"/>
        <w:ind w:firstLine="422" w:firstLineChars="200"/>
        <w:jc w:val="left"/>
        <w:rPr>
          <w:rFonts w:ascii="宋体" w:hAnsi="宋体" w:cs="Songti SC"/>
          <w:b/>
          <w:bCs/>
          <w:color w:val="000000"/>
          <w:kern w:val="0"/>
          <w:szCs w:val="28"/>
        </w:rPr>
      </w:pPr>
      <w:r>
        <w:rPr>
          <w:rFonts w:hint="eastAsia" w:ascii="宋体" w:hAnsi="宋体" w:cs="Songti SC"/>
          <w:b/>
          <w:bCs/>
          <w:color w:val="000000"/>
          <w:kern w:val="0"/>
          <w:szCs w:val="28"/>
        </w:rPr>
        <w:t>本简章未尽事宜，按照《北京中医药大学辅修学士学位管理规定》执行。</w:t>
      </w:r>
    </w:p>
    <w:sectPr>
      <w:pgSz w:w="11906" w:h="16838"/>
      <w:pgMar w:top="1157" w:right="1800" w:bottom="115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ngti SC">
    <w:altName w:val="Malgun Gothic Semilight"/>
    <w:panose1 w:val="00000000000000000000"/>
    <w:charset w:val="88"/>
    <w:family w:val="auto"/>
    <w:pitch w:val="default"/>
    <w:sig w:usb0="00000000" w:usb1="00000000" w:usb2="00000010" w:usb3="00000000" w:csb0="0014009F" w:csb1="00000000"/>
  </w:font>
  <w:font w:name="Malgun Gothic Semilight">
    <w:panose1 w:val="020B0502040204020203"/>
    <w:charset w:val="86"/>
    <w:family w:val="auto"/>
    <w:pitch w:val="default"/>
    <w:sig w:usb0="900002AF" w:usb1="01D77CFB" w:usb2="00000012" w:usb3="00000000" w:csb0="203E01BD" w:csb1="D7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Nzc3YWM3NDVhMTY5MjU2OWU5NzljNDVkZGZmZTkifQ=="/>
  </w:docVars>
  <w:rsids>
    <w:rsidRoot w:val="0072114D"/>
    <w:rsid w:val="000249CD"/>
    <w:rsid w:val="00030472"/>
    <w:rsid w:val="000548BF"/>
    <w:rsid w:val="000710D9"/>
    <w:rsid w:val="000713E6"/>
    <w:rsid w:val="00085C59"/>
    <w:rsid w:val="000A6E80"/>
    <w:rsid w:val="000B68A1"/>
    <w:rsid w:val="00121B2E"/>
    <w:rsid w:val="00127E51"/>
    <w:rsid w:val="001457FA"/>
    <w:rsid w:val="00146C40"/>
    <w:rsid w:val="00160F2C"/>
    <w:rsid w:val="00197872"/>
    <w:rsid w:val="001C34B3"/>
    <w:rsid w:val="001D6AF9"/>
    <w:rsid w:val="001F61AD"/>
    <w:rsid w:val="00201D4A"/>
    <w:rsid w:val="00212A99"/>
    <w:rsid w:val="00215807"/>
    <w:rsid w:val="00227881"/>
    <w:rsid w:val="00245E4E"/>
    <w:rsid w:val="0026016D"/>
    <w:rsid w:val="00263913"/>
    <w:rsid w:val="00272F7E"/>
    <w:rsid w:val="00284AD4"/>
    <w:rsid w:val="002C307F"/>
    <w:rsid w:val="002E21B4"/>
    <w:rsid w:val="002E5979"/>
    <w:rsid w:val="00317644"/>
    <w:rsid w:val="003341F8"/>
    <w:rsid w:val="00354022"/>
    <w:rsid w:val="003854E8"/>
    <w:rsid w:val="003907FE"/>
    <w:rsid w:val="003A7EAC"/>
    <w:rsid w:val="003C57E4"/>
    <w:rsid w:val="003C67B4"/>
    <w:rsid w:val="003E1994"/>
    <w:rsid w:val="003E257F"/>
    <w:rsid w:val="00400FF5"/>
    <w:rsid w:val="00430012"/>
    <w:rsid w:val="00445AD3"/>
    <w:rsid w:val="00450EF9"/>
    <w:rsid w:val="00457174"/>
    <w:rsid w:val="00487043"/>
    <w:rsid w:val="004877FA"/>
    <w:rsid w:val="00500F25"/>
    <w:rsid w:val="00506477"/>
    <w:rsid w:val="00514B9A"/>
    <w:rsid w:val="005154F6"/>
    <w:rsid w:val="00526B0D"/>
    <w:rsid w:val="0059377C"/>
    <w:rsid w:val="00595B6A"/>
    <w:rsid w:val="0059712F"/>
    <w:rsid w:val="005C741B"/>
    <w:rsid w:val="00602A56"/>
    <w:rsid w:val="0061704B"/>
    <w:rsid w:val="00625F18"/>
    <w:rsid w:val="00632704"/>
    <w:rsid w:val="006333B1"/>
    <w:rsid w:val="00672DEF"/>
    <w:rsid w:val="006D279B"/>
    <w:rsid w:val="0071095D"/>
    <w:rsid w:val="0072114D"/>
    <w:rsid w:val="00723795"/>
    <w:rsid w:val="00775016"/>
    <w:rsid w:val="00776F89"/>
    <w:rsid w:val="0079090B"/>
    <w:rsid w:val="00793577"/>
    <w:rsid w:val="007D21F2"/>
    <w:rsid w:val="007E7C4A"/>
    <w:rsid w:val="00817028"/>
    <w:rsid w:val="00817D40"/>
    <w:rsid w:val="00855A1A"/>
    <w:rsid w:val="00894460"/>
    <w:rsid w:val="008A2AE9"/>
    <w:rsid w:val="008B41BA"/>
    <w:rsid w:val="008C3906"/>
    <w:rsid w:val="008D026E"/>
    <w:rsid w:val="008D0E3F"/>
    <w:rsid w:val="008D23E4"/>
    <w:rsid w:val="00952A31"/>
    <w:rsid w:val="00973AB2"/>
    <w:rsid w:val="00A03970"/>
    <w:rsid w:val="00A37E87"/>
    <w:rsid w:val="00A551E6"/>
    <w:rsid w:val="00A56CA4"/>
    <w:rsid w:val="00A745A9"/>
    <w:rsid w:val="00A815BE"/>
    <w:rsid w:val="00AE6080"/>
    <w:rsid w:val="00B25604"/>
    <w:rsid w:val="00B25DFE"/>
    <w:rsid w:val="00B3070A"/>
    <w:rsid w:val="00B32959"/>
    <w:rsid w:val="00B42B65"/>
    <w:rsid w:val="00B65AFA"/>
    <w:rsid w:val="00B67985"/>
    <w:rsid w:val="00B943F1"/>
    <w:rsid w:val="00BB4523"/>
    <w:rsid w:val="00BC32B0"/>
    <w:rsid w:val="00BC7380"/>
    <w:rsid w:val="00BD6B9E"/>
    <w:rsid w:val="00C153F0"/>
    <w:rsid w:val="00C3718D"/>
    <w:rsid w:val="00C41807"/>
    <w:rsid w:val="00C72CE9"/>
    <w:rsid w:val="00CC3E1D"/>
    <w:rsid w:val="00CE2863"/>
    <w:rsid w:val="00CF33B4"/>
    <w:rsid w:val="00CF6234"/>
    <w:rsid w:val="00D153ED"/>
    <w:rsid w:val="00D338F9"/>
    <w:rsid w:val="00D36ACA"/>
    <w:rsid w:val="00D372CF"/>
    <w:rsid w:val="00D701CD"/>
    <w:rsid w:val="00DB586D"/>
    <w:rsid w:val="00DE18B8"/>
    <w:rsid w:val="00DE4314"/>
    <w:rsid w:val="00DF5D68"/>
    <w:rsid w:val="00E03805"/>
    <w:rsid w:val="00E16EA2"/>
    <w:rsid w:val="00E320A9"/>
    <w:rsid w:val="00E456E5"/>
    <w:rsid w:val="00E53EF5"/>
    <w:rsid w:val="00E560D8"/>
    <w:rsid w:val="00E602CE"/>
    <w:rsid w:val="00E67251"/>
    <w:rsid w:val="00E7075F"/>
    <w:rsid w:val="00EC7334"/>
    <w:rsid w:val="00F107FA"/>
    <w:rsid w:val="00F3375C"/>
    <w:rsid w:val="00F42470"/>
    <w:rsid w:val="00F52979"/>
    <w:rsid w:val="00F6506F"/>
    <w:rsid w:val="00FB787F"/>
    <w:rsid w:val="00FE153B"/>
    <w:rsid w:val="00FE79C8"/>
    <w:rsid w:val="01A21CD7"/>
    <w:rsid w:val="02356F80"/>
    <w:rsid w:val="049E4F10"/>
    <w:rsid w:val="053A13B6"/>
    <w:rsid w:val="063D1CC6"/>
    <w:rsid w:val="0EBA4BE1"/>
    <w:rsid w:val="0F6F3C6E"/>
    <w:rsid w:val="10EA1EE2"/>
    <w:rsid w:val="13CE7899"/>
    <w:rsid w:val="15367365"/>
    <w:rsid w:val="172723FC"/>
    <w:rsid w:val="17FF44C5"/>
    <w:rsid w:val="18DB6DF6"/>
    <w:rsid w:val="198033E4"/>
    <w:rsid w:val="1A204D13"/>
    <w:rsid w:val="1A9D3DCA"/>
    <w:rsid w:val="1C7B0F18"/>
    <w:rsid w:val="1CD33459"/>
    <w:rsid w:val="1DB73818"/>
    <w:rsid w:val="1E325749"/>
    <w:rsid w:val="1F414A66"/>
    <w:rsid w:val="237E0C4E"/>
    <w:rsid w:val="23AD7614"/>
    <w:rsid w:val="2883009C"/>
    <w:rsid w:val="28DE0127"/>
    <w:rsid w:val="295076D8"/>
    <w:rsid w:val="29BB5D72"/>
    <w:rsid w:val="2E446CB5"/>
    <w:rsid w:val="2E595C59"/>
    <w:rsid w:val="2F1A5D11"/>
    <w:rsid w:val="32065A61"/>
    <w:rsid w:val="32BC1537"/>
    <w:rsid w:val="33A87367"/>
    <w:rsid w:val="344D18F8"/>
    <w:rsid w:val="35655A01"/>
    <w:rsid w:val="364B5A31"/>
    <w:rsid w:val="37472FC3"/>
    <w:rsid w:val="3BFF085F"/>
    <w:rsid w:val="409D454D"/>
    <w:rsid w:val="412D15AD"/>
    <w:rsid w:val="42F24900"/>
    <w:rsid w:val="45FC1E93"/>
    <w:rsid w:val="48343468"/>
    <w:rsid w:val="48FD558A"/>
    <w:rsid w:val="4BBF1826"/>
    <w:rsid w:val="4BC33D59"/>
    <w:rsid w:val="4CC329EB"/>
    <w:rsid w:val="4D6D5452"/>
    <w:rsid w:val="4F8A44B3"/>
    <w:rsid w:val="511857A5"/>
    <w:rsid w:val="517852F2"/>
    <w:rsid w:val="51C92E73"/>
    <w:rsid w:val="52A65C54"/>
    <w:rsid w:val="52C8401D"/>
    <w:rsid w:val="532D03F0"/>
    <w:rsid w:val="53E72F8E"/>
    <w:rsid w:val="54AF0A2F"/>
    <w:rsid w:val="55BB5438"/>
    <w:rsid w:val="591D0891"/>
    <w:rsid w:val="59A9626A"/>
    <w:rsid w:val="5D5C0C41"/>
    <w:rsid w:val="5D7A1093"/>
    <w:rsid w:val="5E25019A"/>
    <w:rsid w:val="5ED15115"/>
    <w:rsid w:val="5F61293D"/>
    <w:rsid w:val="62B912DA"/>
    <w:rsid w:val="634829C1"/>
    <w:rsid w:val="6406722D"/>
    <w:rsid w:val="661C136B"/>
    <w:rsid w:val="66C0417D"/>
    <w:rsid w:val="66EB6353"/>
    <w:rsid w:val="68BC1A9F"/>
    <w:rsid w:val="68C301C4"/>
    <w:rsid w:val="693E72AD"/>
    <w:rsid w:val="69794D27"/>
    <w:rsid w:val="6A941E18"/>
    <w:rsid w:val="6FAA3E8C"/>
    <w:rsid w:val="71D74D41"/>
    <w:rsid w:val="72D4614E"/>
    <w:rsid w:val="755D257B"/>
    <w:rsid w:val="758B0CC8"/>
    <w:rsid w:val="75CB690A"/>
    <w:rsid w:val="766823AB"/>
    <w:rsid w:val="77873B18"/>
    <w:rsid w:val="7AA13755"/>
    <w:rsid w:val="7AA944D4"/>
    <w:rsid w:val="7B4F6B94"/>
    <w:rsid w:val="7BA82B7E"/>
    <w:rsid w:val="7F0546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文字 Char"/>
    <w:basedOn w:val="8"/>
    <w:link w:val="2"/>
    <w:semiHidden/>
    <w:qFormat/>
    <w:uiPriority w:val="99"/>
  </w:style>
  <w:style w:type="character" w:customStyle="1" w:styleId="14">
    <w:name w:val="批注主题 Char"/>
    <w:basedOn w:val="13"/>
    <w:link w:val="6"/>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4C7523-33D1-4291-8E1D-75B32E899A2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2086</Words>
  <Characters>2123</Characters>
  <Lines>15</Lines>
  <Paragraphs>4</Paragraphs>
  <TotalTime>21</TotalTime>
  <ScaleCrop>false</ScaleCrop>
  <LinksUpToDate>false</LinksUpToDate>
  <CharactersWithSpaces>2134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2024-07-15T08:34:00Z</dcterms:created>
  <dc:creator>Windows</dc:creator>
  <cp:lastModifiedBy>孔祥国</cp:lastModifiedBy>
  <cp:lastPrinted>2021-07-19T07:09:00Z</cp:lastPrinted>
  <dcterms:modified xsi:type="dcterms:W3CDTF">2026-07-22T07:39:28Z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D1F6097203844CE8957A968A75BA0E3C</vt:lpwstr>
  </property>
  <property fmtid="{D5CDD505-2E9C-101B-9397-08002B2CF9AE}" pid="4" name="KSOTemplateDocerSaveRecord">
    <vt:lpwstr>eyJoZGlkIjoiOGY1ZmFiMGRlNzBiZGI0NTEwYWYzZTJiOTVjZjdmMjYiLCJ1c2VySWQiOiIzMjQ4NTYxODEifQ==</vt:lpwstr>
  </property>
</Properties>
</file>