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AA187">
      <w:pPr>
        <w:spacing w:line="276" w:lineRule="auto"/>
        <w:ind w:right="2209" w:rightChars="1052"/>
        <w:jc w:val="left"/>
        <w:rPr>
          <w:rFonts w:hint="eastAsia" w:ascii="仿宋" w:hAnsi="仿宋" w:eastAsia="仿宋"/>
          <w:b/>
          <w:bCs/>
          <w:sz w:val="32"/>
          <w:szCs w:val="30"/>
        </w:rPr>
      </w:pPr>
      <w:r>
        <w:rPr>
          <w:rFonts w:hint="eastAsia" w:ascii="仿宋" w:hAnsi="仿宋" w:eastAsia="仿宋"/>
          <w:sz w:val="32"/>
          <w:szCs w:val="30"/>
        </w:rPr>
        <w:t xml:space="preserve">附件1 </w:t>
      </w:r>
    </w:p>
    <w:p w14:paraId="0E153389">
      <w:pPr>
        <w:jc w:val="center"/>
        <w:rPr>
          <w:rFonts w:hint="eastAsia" w:ascii="黑体" w:hAnsi="黑体" w:eastAsia="黑体"/>
          <w:sz w:val="40"/>
        </w:rPr>
      </w:pPr>
      <w:bookmarkStart w:id="0" w:name="_GoBack"/>
      <w:r>
        <w:rPr>
          <w:rFonts w:hint="eastAsia" w:ascii="黑体" w:hAnsi="黑体" w:eastAsia="黑体"/>
          <w:sz w:val="40"/>
        </w:rPr>
        <w:t>全国中医药高等教育“十五五”规划</w:t>
      </w:r>
    </w:p>
    <w:p w14:paraId="5E66C40B">
      <w:pPr>
        <w:jc w:val="center"/>
        <w:rPr>
          <w:rFonts w:hint="eastAsia" w:ascii="黑体" w:hAnsi="黑体" w:eastAsia="黑体"/>
          <w:sz w:val="40"/>
        </w:rPr>
      </w:pPr>
      <w:r>
        <w:rPr>
          <w:rFonts w:hint="eastAsia" w:ascii="黑体" w:hAnsi="黑体" w:eastAsia="黑体"/>
          <w:sz w:val="40"/>
        </w:rPr>
        <w:t>2026年度教育科研课题招标指南</w:t>
      </w:r>
    </w:p>
    <w:bookmarkEnd w:id="0"/>
    <w:p w14:paraId="508680B7">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hint="eastAsia" w:ascii="仿宋" w:hAnsi="仿宋" w:eastAsia="仿宋"/>
          <w:sz w:val="32"/>
          <w:szCs w:val="30"/>
        </w:rPr>
        <w:t>新时代伟大变革融入中医药思想政治教育研究</w:t>
      </w:r>
    </w:p>
    <w:p w14:paraId="5304C3B2">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hint="eastAsia" w:ascii="仿宋" w:hAnsi="仿宋" w:eastAsia="仿宋"/>
          <w:sz w:val="32"/>
          <w:szCs w:val="30"/>
        </w:rPr>
        <w:t>中医药思政课堂和社会课堂有效融合研究</w:t>
      </w:r>
    </w:p>
    <w:p w14:paraId="0B7328D3">
      <w:pPr>
        <w:pStyle w:val="6"/>
        <w:numPr>
          <w:ilvl w:val="0"/>
          <w:numId w:val="1"/>
        </w:numPr>
        <w:tabs>
          <w:tab w:val="left" w:pos="284"/>
        </w:tabs>
        <w:spacing w:line="360" w:lineRule="auto"/>
        <w:ind w:left="426" w:right="225" w:rightChars="107" w:hanging="426" w:firstLineChars="0"/>
        <w:rPr>
          <w:rFonts w:hint="eastAsia" w:ascii="仿宋" w:hAnsi="仿宋" w:eastAsia="仿宋"/>
          <w:sz w:val="32"/>
          <w:szCs w:val="30"/>
        </w:rPr>
      </w:pPr>
      <w:r>
        <w:rPr>
          <w:rFonts w:ascii="仿宋" w:hAnsi="仿宋" w:eastAsia="仿宋"/>
          <w:sz w:val="32"/>
          <w:szCs w:val="30"/>
        </w:rPr>
        <w:t>新时代立德树人工程背景下中医药院校“四全”育人机制</w:t>
      </w:r>
      <w:r>
        <w:rPr>
          <w:rFonts w:hint="eastAsia" w:ascii="仿宋" w:hAnsi="仿宋" w:eastAsia="仿宋"/>
          <w:sz w:val="32"/>
          <w:szCs w:val="30"/>
        </w:rPr>
        <w:t>与路径</w:t>
      </w:r>
      <w:r>
        <w:rPr>
          <w:rFonts w:ascii="仿宋" w:hAnsi="仿宋" w:eastAsia="仿宋"/>
          <w:sz w:val="32"/>
          <w:szCs w:val="30"/>
        </w:rPr>
        <w:t>研究</w:t>
      </w:r>
    </w:p>
    <w:p w14:paraId="6DD459B0">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hint="eastAsia" w:ascii="仿宋" w:hAnsi="仿宋" w:eastAsia="仿宋"/>
          <w:sz w:val="32"/>
          <w:szCs w:val="30"/>
        </w:rPr>
        <w:t>中医药学科交叉复合型人才培养体系研究</w:t>
      </w:r>
    </w:p>
    <w:p w14:paraId="0681979F">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ascii="仿宋" w:hAnsi="仿宋" w:eastAsia="仿宋"/>
          <w:sz w:val="32"/>
          <w:szCs w:val="30"/>
        </w:rPr>
        <w:t>长学制中医药类专业</w:t>
      </w:r>
      <w:r>
        <w:rPr>
          <w:rFonts w:hint="eastAsia" w:ascii="仿宋" w:hAnsi="仿宋" w:eastAsia="仿宋"/>
          <w:sz w:val="32"/>
          <w:szCs w:val="30"/>
        </w:rPr>
        <w:t>的</w:t>
      </w:r>
      <w:r>
        <w:rPr>
          <w:rFonts w:ascii="仿宋" w:hAnsi="仿宋" w:eastAsia="仿宋"/>
          <w:sz w:val="32"/>
          <w:szCs w:val="30"/>
        </w:rPr>
        <w:t>人才培养模式</w:t>
      </w:r>
      <w:r>
        <w:rPr>
          <w:rFonts w:hint="eastAsia" w:ascii="仿宋" w:hAnsi="仿宋" w:eastAsia="仿宋"/>
          <w:sz w:val="32"/>
          <w:szCs w:val="30"/>
        </w:rPr>
        <w:t>与实践</w:t>
      </w:r>
      <w:r>
        <w:rPr>
          <w:rFonts w:ascii="仿宋" w:hAnsi="仿宋" w:eastAsia="仿宋"/>
          <w:sz w:val="32"/>
          <w:szCs w:val="30"/>
        </w:rPr>
        <w:t>研究</w:t>
      </w:r>
    </w:p>
    <w:p w14:paraId="0E4D8379">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hint="eastAsia" w:ascii="仿宋" w:hAnsi="仿宋" w:eastAsia="仿宋"/>
          <w:sz w:val="32"/>
          <w:szCs w:val="30"/>
        </w:rPr>
        <w:t>中医药课程与教材体系建设研究</w:t>
      </w:r>
    </w:p>
    <w:p w14:paraId="3BC96141">
      <w:pPr>
        <w:pStyle w:val="6"/>
        <w:numPr>
          <w:ilvl w:val="0"/>
          <w:numId w:val="1"/>
        </w:numPr>
        <w:tabs>
          <w:tab w:val="left" w:pos="284"/>
        </w:tabs>
        <w:spacing w:line="360" w:lineRule="auto"/>
        <w:ind w:left="426" w:right="225" w:rightChars="107" w:hanging="426" w:firstLineChars="0"/>
        <w:rPr>
          <w:rFonts w:hint="eastAsia" w:ascii="仿宋" w:hAnsi="仿宋" w:eastAsia="仿宋"/>
          <w:sz w:val="32"/>
          <w:szCs w:val="30"/>
        </w:rPr>
      </w:pPr>
      <w:r>
        <w:rPr>
          <w:rFonts w:ascii="仿宋" w:hAnsi="仿宋" w:eastAsia="仿宋"/>
          <w:sz w:val="32"/>
          <w:szCs w:val="30"/>
        </w:rPr>
        <w:t>中医药学生专业认同与文化自信培育</w:t>
      </w:r>
      <w:r>
        <w:rPr>
          <w:rFonts w:hint="eastAsia" w:ascii="仿宋" w:hAnsi="仿宋" w:eastAsia="仿宋"/>
          <w:sz w:val="32"/>
          <w:szCs w:val="30"/>
        </w:rPr>
        <w:t>提升路径</w:t>
      </w:r>
      <w:r>
        <w:rPr>
          <w:rFonts w:ascii="仿宋" w:hAnsi="仿宋" w:eastAsia="仿宋"/>
          <w:sz w:val="32"/>
          <w:szCs w:val="30"/>
        </w:rPr>
        <w:t>研究</w:t>
      </w:r>
    </w:p>
    <w:p w14:paraId="37A4CA90">
      <w:pPr>
        <w:pStyle w:val="6"/>
        <w:numPr>
          <w:ilvl w:val="0"/>
          <w:numId w:val="1"/>
        </w:numPr>
        <w:tabs>
          <w:tab w:val="left" w:pos="426"/>
        </w:tabs>
        <w:spacing w:line="360" w:lineRule="auto"/>
        <w:ind w:right="225" w:rightChars="107" w:hanging="561" w:firstLineChars="0"/>
        <w:rPr>
          <w:rFonts w:ascii="仿宋" w:hAnsi="仿宋" w:eastAsia="仿宋"/>
          <w:sz w:val="32"/>
          <w:szCs w:val="30"/>
        </w:rPr>
      </w:pPr>
      <w:r>
        <w:rPr>
          <w:rFonts w:hint="eastAsia" w:ascii="仿宋" w:hAnsi="仿宋" w:eastAsia="仿宋"/>
          <w:sz w:val="32"/>
          <w:szCs w:val="30"/>
        </w:rPr>
        <w:t>新时代</w:t>
      </w:r>
      <w:r>
        <w:rPr>
          <w:rFonts w:ascii="仿宋" w:hAnsi="仿宋" w:eastAsia="仿宋"/>
          <w:sz w:val="32"/>
          <w:szCs w:val="30"/>
        </w:rPr>
        <w:t>中医药学生人文素养</w:t>
      </w:r>
      <w:r>
        <w:rPr>
          <w:rFonts w:hint="eastAsia" w:ascii="仿宋" w:hAnsi="仿宋" w:eastAsia="仿宋"/>
          <w:sz w:val="32"/>
          <w:szCs w:val="30"/>
        </w:rPr>
        <w:t>内涵及</w:t>
      </w:r>
      <w:r>
        <w:rPr>
          <w:rFonts w:ascii="仿宋" w:hAnsi="仿宋" w:eastAsia="仿宋"/>
          <w:sz w:val="32"/>
          <w:szCs w:val="30"/>
        </w:rPr>
        <w:t>培育路径</w:t>
      </w:r>
      <w:r>
        <w:rPr>
          <w:rFonts w:hint="eastAsia" w:ascii="仿宋" w:hAnsi="仿宋" w:eastAsia="仿宋"/>
          <w:sz w:val="32"/>
          <w:szCs w:val="30"/>
        </w:rPr>
        <w:t>研究</w:t>
      </w:r>
    </w:p>
    <w:p w14:paraId="5B5FF3A4">
      <w:pPr>
        <w:pStyle w:val="6"/>
        <w:numPr>
          <w:ilvl w:val="0"/>
          <w:numId w:val="1"/>
        </w:numPr>
        <w:tabs>
          <w:tab w:val="left" w:pos="426"/>
        </w:tabs>
        <w:spacing w:line="360" w:lineRule="auto"/>
        <w:ind w:left="284" w:right="225" w:rightChars="107" w:hanging="284" w:firstLineChars="0"/>
        <w:rPr>
          <w:rFonts w:hint="eastAsia" w:ascii="仿宋" w:hAnsi="仿宋" w:eastAsia="仿宋"/>
          <w:sz w:val="32"/>
          <w:szCs w:val="30"/>
        </w:rPr>
      </w:pPr>
      <w:r>
        <w:rPr>
          <w:rFonts w:ascii="仿宋" w:hAnsi="仿宋" w:eastAsia="仿宋"/>
          <w:sz w:val="32"/>
          <w:szCs w:val="30"/>
        </w:rPr>
        <w:t>院校教育与师承教育融合的中医药人才培养模式优化与实践路径研究</w:t>
      </w:r>
    </w:p>
    <w:p w14:paraId="731754BE">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hint="eastAsia" w:ascii="仿宋" w:hAnsi="仿宋" w:eastAsia="仿宋"/>
          <w:sz w:val="32"/>
          <w:szCs w:val="30"/>
        </w:rPr>
        <w:t>高校中医师承教育的质量评价体系构建与应用研究</w:t>
      </w:r>
    </w:p>
    <w:p w14:paraId="611AF32F">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hint="eastAsia" w:ascii="仿宋" w:hAnsi="仿宋" w:eastAsia="仿宋"/>
          <w:sz w:val="32"/>
          <w:szCs w:val="30"/>
        </w:rPr>
        <w:t>中医药及相关专业教学资源库、案例库建设相关研究</w:t>
      </w:r>
    </w:p>
    <w:p w14:paraId="431C3603">
      <w:pPr>
        <w:pStyle w:val="6"/>
        <w:numPr>
          <w:ilvl w:val="0"/>
          <w:numId w:val="1"/>
        </w:numPr>
        <w:tabs>
          <w:tab w:val="left" w:pos="284"/>
        </w:tabs>
        <w:spacing w:line="360" w:lineRule="auto"/>
        <w:ind w:left="426" w:right="225" w:rightChars="107" w:hanging="426" w:firstLineChars="0"/>
        <w:rPr>
          <w:rFonts w:hint="eastAsia" w:ascii="仿宋" w:hAnsi="仿宋" w:eastAsia="仿宋"/>
          <w:sz w:val="32"/>
          <w:szCs w:val="30"/>
        </w:rPr>
      </w:pPr>
      <w:r>
        <w:rPr>
          <w:rFonts w:ascii="仿宋" w:hAnsi="仿宋" w:eastAsia="仿宋"/>
          <w:sz w:val="32"/>
          <w:szCs w:val="30"/>
        </w:rPr>
        <w:t>胜任力导向下中医药学生数智素养</w:t>
      </w:r>
      <w:r>
        <w:rPr>
          <w:rFonts w:hint="eastAsia" w:ascii="仿宋" w:hAnsi="仿宋" w:eastAsia="仿宋"/>
          <w:sz w:val="32"/>
          <w:szCs w:val="30"/>
        </w:rPr>
        <w:t>内涵、</w:t>
      </w:r>
      <w:r>
        <w:rPr>
          <w:rFonts w:ascii="仿宋" w:hAnsi="仿宋" w:eastAsia="仿宋"/>
          <w:sz w:val="32"/>
          <w:szCs w:val="30"/>
        </w:rPr>
        <w:t>评价</w:t>
      </w:r>
      <w:r>
        <w:rPr>
          <w:rFonts w:hint="eastAsia" w:ascii="仿宋" w:hAnsi="仿宋" w:eastAsia="仿宋"/>
          <w:sz w:val="32"/>
          <w:szCs w:val="30"/>
        </w:rPr>
        <w:t>与培育</w:t>
      </w:r>
      <w:r>
        <w:rPr>
          <w:rFonts w:ascii="仿宋" w:hAnsi="仿宋" w:eastAsia="仿宋"/>
          <w:sz w:val="32"/>
          <w:szCs w:val="30"/>
        </w:rPr>
        <w:t>路径研究</w:t>
      </w:r>
    </w:p>
    <w:p w14:paraId="2C50DF17">
      <w:pPr>
        <w:pStyle w:val="6"/>
        <w:numPr>
          <w:ilvl w:val="0"/>
          <w:numId w:val="1"/>
        </w:numPr>
        <w:tabs>
          <w:tab w:val="left" w:pos="426"/>
        </w:tabs>
        <w:spacing w:line="360" w:lineRule="auto"/>
        <w:ind w:right="225" w:rightChars="107" w:hanging="561" w:firstLineChars="0"/>
        <w:rPr>
          <w:rFonts w:ascii="仿宋" w:hAnsi="仿宋" w:eastAsia="仿宋"/>
          <w:sz w:val="32"/>
          <w:szCs w:val="30"/>
        </w:rPr>
      </w:pPr>
      <w:r>
        <w:rPr>
          <w:rFonts w:hint="eastAsia" w:ascii="仿宋" w:hAnsi="仿宋" w:eastAsia="仿宋"/>
          <w:sz w:val="32"/>
          <w:szCs w:val="30"/>
        </w:rPr>
        <w:t>高校</w:t>
      </w:r>
      <w:r>
        <w:rPr>
          <w:rFonts w:ascii="仿宋" w:hAnsi="仿宋" w:eastAsia="仿宋"/>
          <w:sz w:val="32"/>
          <w:szCs w:val="30"/>
        </w:rPr>
        <w:t>中医药教师数智素养与教学胜任力提升研究</w:t>
      </w:r>
    </w:p>
    <w:p w14:paraId="2492D3C4">
      <w:pPr>
        <w:pStyle w:val="6"/>
        <w:numPr>
          <w:ilvl w:val="0"/>
          <w:numId w:val="1"/>
        </w:numPr>
        <w:tabs>
          <w:tab w:val="left" w:pos="426"/>
        </w:tabs>
        <w:spacing w:line="360" w:lineRule="auto"/>
        <w:ind w:right="225" w:rightChars="107" w:hanging="561" w:firstLineChars="0"/>
        <w:rPr>
          <w:rFonts w:hint="eastAsia" w:ascii="仿宋" w:hAnsi="仿宋" w:eastAsia="仿宋"/>
          <w:sz w:val="32"/>
          <w:szCs w:val="30"/>
        </w:rPr>
      </w:pPr>
      <w:r>
        <w:rPr>
          <w:rFonts w:ascii="仿宋" w:hAnsi="仿宋" w:eastAsia="仿宋"/>
          <w:sz w:val="32"/>
          <w:szCs w:val="30"/>
        </w:rPr>
        <w:t>数智技术驱动中医药教育教学范式变革与实践场景创新研究</w:t>
      </w:r>
    </w:p>
    <w:p w14:paraId="029AF5D0">
      <w:pPr>
        <w:pStyle w:val="6"/>
        <w:numPr>
          <w:ilvl w:val="0"/>
          <w:numId w:val="1"/>
        </w:numPr>
        <w:tabs>
          <w:tab w:val="left" w:pos="426"/>
        </w:tabs>
        <w:spacing w:line="276" w:lineRule="auto"/>
        <w:ind w:right="2209" w:rightChars="1052" w:hanging="561" w:firstLineChars="0"/>
        <w:jc w:val="left"/>
        <w:rPr>
          <w:rFonts w:hint="eastAsia" w:ascii="仿宋_GB2312" w:hAnsi="宋体" w:eastAsia="仿宋_GB2312"/>
          <w:b/>
          <w:kern w:val="0"/>
          <w:sz w:val="32"/>
          <w:szCs w:val="32"/>
        </w:rPr>
      </w:pPr>
      <w:r>
        <w:rPr>
          <w:rFonts w:hint="eastAsia" w:ascii="仿宋" w:hAnsi="仿宋" w:eastAsia="仿宋"/>
          <w:sz w:val="32"/>
          <w:szCs w:val="30"/>
        </w:rPr>
        <w:t>中医药教育出海的路径与实践研究</w:t>
      </w:r>
    </w:p>
    <w:p w14:paraId="44D2665F"/>
    <w:sectPr>
      <w:headerReference r:id="rId3" w:type="default"/>
      <w:footerReference r:id="rId4" w:type="default"/>
      <w:pgSz w:w="11907" w:h="16840"/>
      <w:pgMar w:top="1077" w:right="1984" w:bottom="1191" w:left="1644" w:header="1021" w:footer="851"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C5FDD">
    <w:pPr>
      <w:pStyle w:val="2"/>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312DB">
    <w:pPr>
      <w:pStyle w:val="3"/>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suff w:val="space"/>
      <w:lvlText w:val="%1."/>
      <w:lvlJc w:val="left"/>
      <w:pPr>
        <w:ind w:left="561" w:hanging="420"/>
      </w:pPr>
      <w:rPr>
        <w:rFonts w:hint="eastAsia"/>
        <w:b w:val="0"/>
        <w:bCs w:val="0"/>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C773CC"/>
    <w:rsid w:val="21C77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2026-09-14T06:42:00Z</dcterms:created>
  <dc:creator>李爱华</dc:creator>
  <cp:lastModifiedBy>李爱华</cp:lastModifiedBy>
  <dcterms:modified xsi:type="dcterms:W3CDTF">2026-09-14T06:42:37Z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A10D8575933040B8A0C4F60C86D73766_11</vt:lpwstr>
  </property>
  <property fmtid="{D5CDD505-2E9C-101B-9397-08002B2CF9AE}" pid="4" name="KSOTemplateDocerSaveRecord">
    <vt:lpwstr>eyJoZGlkIjoiNjNlMzUzYzBmM2UzYzMwOGUwM2QyMjMwMDEwNjQ3N2MiLCJ1c2VySWQiOiI2OTczNjQ4NDEifQ==</vt:lpwstr>
  </property>
</Properties>
</file>